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EDE1" w14:textId="27456688" w:rsidR="001430A3" w:rsidRPr="00C10958" w:rsidRDefault="00B22C12" w:rsidP="00507CE3">
      <w:pPr>
        <w:widowControl w:val="0"/>
        <w:spacing w:afterLines="50" w:after="120"/>
        <w:jc w:val="center"/>
        <w:textAlignment w:val="auto"/>
        <w:rPr>
          <w:rFonts w:ascii="微软简标宋" w:eastAsia="微软简标宋" w:hAnsi="等线"/>
          <w:sz w:val="44"/>
          <w:szCs w:val="48"/>
        </w:rPr>
      </w:pPr>
      <w:r w:rsidRPr="00C10958">
        <w:rPr>
          <w:rFonts w:ascii="微软简标宋" w:eastAsia="微软简标宋" w:hAnsi="等线" w:hint="eastAsia"/>
          <w:sz w:val="44"/>
          <w:szCs w:val="48"/>
        </w:rPr>
        <w:t>平江县杨源小学片区</w:t>
      </w:r>
      <w:r w:rsidR="009A3250">
        <w:rPr>
          <w:rFonts w:ascii="微软简标宋" w:eastAsia="微软简标宋" w:hAnsi="等线" w:hint="eastAsia"/>
          <w:sz w:val="44"/>
          <w:szCs w:val="48"/>
        </w:rPr>
        <w:t>开发经营权拍卖方案</w:t>
      </w:r>
    </w:p>
    <w:p w14:paraId="6780AF72" w14:textId="77777777" w:rsidR="001430A3" w:rsidRDefault="001430A3" w:rsidP="00661990">
      <w:pPr>
        <w:pStyle w:val="a0"/>
        <w:jc w:val="center"/>
      </w:pPr>
    </w:p>
    <w:p w14:paraId="1F68A250" w14:textId="77777777" w:rsidR="00865F48" w:rsidRPr="009A3250" w:rsidRDefault="00B22C12" w:rsidP="00BE6873">
      <w:pPr>
        <w:widowControl w:val="0"/>
        <w:spacing w:line="640" w:lineRule="exact"/>
        <w:ind w:firstLineChars="200" w:firstLine="640"/>
        <w:textAlignment w:val="auto"/>
        <w:rPr>
          <w:rFonts w:ascii="黑体" w:eastAsia="黑体" w:hAnsi="黑体"/>
          <w:sz w:val="32"/>
          <w:szCs w:val="32"/>
        </w:rPr>
      </w:pPr>
      <w:r>
        <w:rPr>
          <w:rFonts w:ascii="黑体" w:eastAsia="黑体" w:hAnsi="黑体" w:hint="eastAsia"/>
          <w:sz w:val="32"/>
          <w:szCs w:val="32"/>
        </w:rPr>
        <w:t>一、</w:t>
      </w:r>
      <w:r w:rsidR="00865F48" w:rsidRPr="009A3250">
        <w:rPr>
          <w:rFonts w:ascii="黑体" w:eastAsia="黑体" w:hAnsi="黑体" w:hint="eastAsia"/>
          <w:sz w:val="32"/>
          <w:szCs w:val="32"/>
        </w:rPr>
        <w:t>拍卖</w:t>
      </w:r>
      <w:r w:rsidR="00865F48">
        <w:rPr>
          <w:rFonts w:ascii="黑体" w:eastAsia="黑体" w:hAnsi="黑体" w:hint="eastAsia"/>
          <w:sz w:val="32"/>
          <w:szCs w:val="32"/>
        </w:rPr>
        <w:t>委托人</w:t>
      </w:r>
    </w:p>
    <w:p w14:paraId="0C279961" w14:textId="77777777" w:rsidR="00865F48" w:rsidRDefault="00865F48"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平江县城市建设投资服务中心</w:t>
      </w:r>
    </w:p>
    <w:p w14:paraId="59B6CA20" w14:textId="66546DCF" w:rsidR="00865F48" w:rsidRDefault="00865F48" w:rsidP="00BE6873">
      <w:pPr>
        <w:widowControl w:val="0"/>
        <w:spacing w:line="640" w:lineRule="exact"/>
        <w:ind w:firstLineChars="200" w:firstLine="640"/>
        <w:textAlignment w:val="auto"/>
        <w:rPr>
          <w:rFonts w:ascii="黑体" w:eastAsia="黑体" w:hAnsi="黑体"/>
          <w:sz w:val="32"/>
          <w:szCs w:val="32"/>
        </w:rPr>
      </w:pPr>
      <w:r w:rsidRPr="009A3250">
        <w:rPr>
          <w:rFonts w:ascii="黑体" w:eastAsia="黑体" w:hAnsi="黑体" w:hint="eastAsia"/>
          <w:sz w:val="32"/>
          <w:szCs w:val="32"/>
        </w:rPr>
        <w:t>二、</w:t>
      </w:r>
      <w:r>
        <w:rPr>
          <w:rFonts w:ascii="黑体" w:eastAsia="黑体" w:hAnsi="黑体" w:hint="eastAsia"/>
          <w:sz w:val="32"/>
          <w:szCs w:val="32"/>
        </w:rPr>
        <w:t>拍卖机构</w:t>
      </w:r>
    </w:p>
    <w:p w14:paraId="50057BA2" w14:textId="4089F8E4" w:rsidR="00865F48" w:rsidRPr="00865F48" w:rsidRDefault="008C7314" w:rsidP="00BE6873">
      <w:pPr>
        <w:pStyle w:val="a0"/>
        <w:spacing w:before="0" w:line="640" w:lineRule="exact"/>
        <w:ind w:left="0" w:firstLineChars="200" w:firstLine="640"/>
        <w:rPr>
          <w:rFonts w:ascii="仿宋_GB2312" w:eastAsia="仿宋_GB2312"/>
          <w:sz w:val="32"/>
          <w:szCs w:val="32"/>
        </w:rPr>
      </w:pPr>
      <w:r>
        <w:rPr>
          <w:rFonts w:ascii="仿宋_GB2312" w:eastAsia="仿宋_GB2312" w:hint="eastAsia"/>
          <w:sz w:val="32"/>
          <w:szCs w:val="32"/>
        </w:rPr>
        <w:t>湖南德士佳拍卖有限公司</w:t>
      </w:r>
    </w:p>
    <w:p w14:paraId="4ED79908" w14:textId="6D58CE4A" w:rsidR="001430A3" w:rsidRDefault="00865F48" w:rsidP="00BE6873">
      <w:pPr>
        <w:widowControl w:val="0"/>
        <w:spacing w:line="640" w:lineRule="exact"/>
        <w:ind w:firstLineChars="200" w:firstLine="640"/>
        <w:textAlignment w:val="auto"/>
        <w:rPr>
          <w:rFonts w:ascii="黑体" w:eastAsia="黑体" w:hAnsi="黑体"/>
          <w:sz w:val="32"/>
          <w:szCs w:val="32"/>
        </w:rPr>
      </w:pPr>
      <w:r w:rsidRPr="00976F5A">
        <w:rPr>
          <w:rFonts w:ascii="黑体" w:eastAsia="黑体" w:hAnsi="黑体" w:hint="eastAsia"/>
          <w:sz w:val="32"/>
          <w:szCs w:val="32"/>
        </w:rPr>
        <w:t>三、</w:t>
      </w:r>
      <w:r w:rsidR="009A3250">
        <w:rPr>
          <w:rFonts w:ascii="黑体" w:eastAsia="黑体" w:hAnsi="黑体" w:hint="eastAsia"/>
          <w:sz w:val="32"/>
          <w:szCs w:val="32"/>
        </w:rPr>
        <w:t>拍卖标的</w:t>
      </w:r>
    </w:p>
    <w:p w14:paraId="410308B3" w14:textId="6AB6C517" w:rsidR="009A3250" w:rsidRDefault="009A325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平江县杨源小学片区开发经营权</w:t>
      </w:r>
    </w:p>
    <w:p w14:paraId="784C9681" w14:textId="5F255F94" w:rsidR="00976F5A" w:rsidRPr="00976F5A" w:rsidRDefault="00865F48" w:rsidP="00BE6873">
      <w:pPr>
        <w:widowControl w:val="0"/>
        <w:spacing w:line="640" w:lineRule="exact"/>
        <w:ind w:firstLineChars="200" w:firstLine="640"/>
        <w:textAlignment w:val="auto"/>
        <w:rPr>
          <w:rFonts w:ascii="黑体" w:eastAsia="黑体" w:hAnsi="黑体"/>
          <w:sz w:val="32"/>
          <w:szCs w:val="32"/>
        </w:rPr>
      </w:pPr>
      <w:r>
        <w:rPr>
          <w:rFonts w:ascii="黑体" w:eastAsia="黑体" w:hAnsi="黑体" w:hint="eastAsia"/>
          <w:sz w:val="32"/>
          <w:szCs w:val="32"/>
        </w:rPr>
        <w:t>四、</w:t>
      </w:r>
      <w:r w:rsidR="00976F5A" w:rsidRPr="00976F5A">
        <w:rPr>
          <w:rFonts w:ascii="黑体" w:eastAsia="黑体" w:hAnsi="黑体" w:hint="eastAsia"/>
          <w:sz w:val="32"/>
          <w:szCs w:val="32"/>
        </w:rPr>
        <w:t>标的内容</w:t>
      </w:r>
    </w:p>
    <w:p w14:paraId="210744CD" w14:textId="60527766" w:rsidR="00976F5A" w:rsidRPr="00D03220" w:rsidRDefault="00976F5A" w:rsidP="00BE6873">
      <w:pPr>
        <w:widowControl w:val="0"/>
        <w:spacing w:line="640" w:lineRule="exact"/>
        <w:ind w:firstLineChars="200" w:firstLine="643"/>
        <w:textAlignment w:val="auto"/>
        <w:rPr>
          <w:rFonts w:ascii="楷体_GB2312" w:eastAsia="楷体_GB2312" w:hAnsi="宋体"/>
          <w:b/>
          <w:bCs/>
          <w:sz w:val="32"/>
          <w:szCs w:val="32"/>
        </w:rPr>
      </w:pPr>
      <w:r w:rsidRPr="00D03220">
        <w:rPr>
          <w:rFonts w:ascii="楷体_GB2312" w:eastAsia="楷体_GB2312" w:hAnsi="宋体" w:hint="eastAsia"/>
          <w:b/>
          <w:bCs/>
          <w:sz w:val="32"/>
          <w:szCs w:val="32"/>
        </w:rPr>
        <w:t>（一）片区范围</w:t>
      </w:r>
    </w:p>
    <w:p w14:paraId="4016A1F8" w14:textId="74809348" w:rsidR="006A2958" w:rsidRDefault="00B22C12"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杨源小学片区规划总用地</w:t>
      </w:r>
      <w:r w:rsidR="00BB7FC5">
        <w:rPr>
          <w:rFonts w:ascii="仿宋_GB2312" w:eastAsia="仿宋_GB2312" w:hAnsi="宋体" w:hint="eastAsia"/>
          <w:sz w:val="32"/>
          <w:szCs w:val="32"/>
        </w:rPr>
        <w:t>约</w:t>
      </w:r>
      <w:r>
        <w:rPr>
          <w:rFonts w:ascii="仿宋_GB2312" w:eastAsia="仿宋_GB2312" w:hAnsi="宋体" w:hint="eastAsia"/>
          <w:sz w:val="32"/>
          <w:szCs w:val="32"/>
        </w:rPr>
        <w:t>5</w:t>
      </w:r>
      <w:r w:rsidR="00EA3612">
        <w:rPr>
          <w:rFonts w:ascii="仿宋_GB2312" w:eastAsia="仿宋_GB2312" w:hAnsi="宋体" w:hint="eastAsia"/>
          <w:sz w:val="32"/>
          <w:szCs w:val="32"/>
        </w:rPr>
        <w:t>32.</w:t>
      </w:r>
      <w:r w:rsidR="00170D5E">
        <w:rPr>
          <w:rFonts w:ascii="仿宋_GB2312" w:eastAsia="仿宋_GB2312" w:hAnsi="宋体"/>
          <w:sz w:val="32"/>
          <w:szCs w:val="32"/>
        </w:rPr>
        <w:t>09</w:t>
      </w:r>
      <w:r>
        <w:rPr>
          <w:rFonts w:ascii="仿宋_GB2312" w:eastAsia="仿宋_GB2312" w:hAnsi="宋体" w:hint="eastAsia"/>
          <w:sz w:val="32"/>
          <w:szCs w:val="32"/>
        </w:rPr>
        <w:t>亩，涵盖1所学校、3条市政道路、</w:t>
      </w:r>
      <w:r>
        <w:rPr>
          <w:rFonts w:ascii="仿宋_GB2312" w:eastAsia="仿宋_GB2312" w:hAnsi="宋体"/>
          <w:sz w:val="32"/>
          <w:szCs w:val="32"/>
        </w:rPr>
        <w:t>1</w:t>
      </w:r>
      <w:r>
        <w:rPr>
          <w:rFonts w:ascii="仿宋_GB2312" w:eastAsia="仿宋_GB2312" w:hAnsi="宋体" w:hint="eastAsia"/>
          <w:sz w:val="32"/>
          <w:szCs w:val="32"/>
        </w:rPr>
        <w:t>个城市山体公园及</w:t>
      </w:r>
      <w:r w:rsidR="00D74D1D">
        <w:rPr>
          <w:rFonts w:ascii="仿宋_GB2312" w:eastAsia="仿宋_GB2312" w:hAnsi="宋体"/>
          <w:sz w:val="32"/>
          <w:szCs w:val="32"/>
        </w:rPr>
        <w:t>4</w:t>
      </w:r>
      <w:r w:rsidR="00D74D1D">
        <w:rPr>
          <w:rFonts w:ascii="仿宋_GB2312" w:eastAsia="仿宋_GB2312" w:hAnsi="宋体" w:hint="eastAsia"/>
          <w:sz w:val="32"/>
          <w:szCs w:val="32"/>
        </w:rPr>
        <w:t>宗</w:t>
      </w:r>
      <w:r w:rsidR="00CA1713">
        <w:rPr>
          <w:rFonts w:ascii="仿宋_GB2312" w:eastAsia="仿宋_GB2312" w:hAnsi="宋体" w:hint="eastAsia"/>
          <w:sz w:val="32"/>
          <w:szCs w:val="32"/>
        </w:rPr>
        <w:t>商业、居住</w:t>
      </w:r>
      <w:r>
        <w:rPr>
          <w:rFonts w:ascii="仿宋_GB2312" w:eastAsia="仿宋_GB2312" w:hAnsi="宋体" w:hint="eastAsia"/>
          <w:sz w:val="32"/>
          <w:szCs w:val="32"/>
        </w:rPr>
        <w:t>用地。其中，杨源小学占地87.3亩，商业与</w:t>
      </w:r>
      <w:r w:rsidR="006222AC">
        <w:rPr>
          <w:rFonts w:ascii="仿宋_GB2312" w:eastAsia="仿宋_GB2312" w:hAnsi="宋体" w:hint="eastAsia"/>
          <w:sz w:val="32"/>
          <w:szCs w:val="32"/>
        </w:rPr>
        <w:t>居住</w:t>
      </w:r>
      <w:r>
        <w:rPr>
          <w:rFonts w:ascii="仿宋_GB2312" w:eastAsia="仿宋_GB2312" w:hAnsi="宋体" w:hint="eastAsia"/>
          <w:sz w:val="32"/>
          <w:szCs w:val="32"/>
        </w:rPr>
        <w:t>用地</w:t>
      </w:r>
      <w:r w:rsidR="006D2E59">
        <w:rPr>
          <w:rFonts w:ascii="仿宋_GB2312" w:eastAsia="仿宋_GB2312" w:hAnsi="宋体" w:hint="eastAsia"/>
          <w:sz w:val="32"/>
          <w:szCs w:val="32"/>
        </w:rPr>
        <w:t>142.</w:t>
      </w:r>
      <w:r w:rsidR="00170D5E">
        <w:rPr>
          <w:rFonts w:ascii="仿宋_GB2312" w:eastAsia="仿宋_GB2312" w:hAnsi="宋体"/>
          <w:sz w:val="32"/>
          <w:szCs w:val="32"/>
        </w:rPr>
        <w:t>49</w:t>
      </w:r>
      <w:r>
        <w:rPr>
          <w:rFonts w:ascii="仿宋_GB2312" w:eastAsia="仿宋_GB2312" w:hAnsi="宋体" w:hint="eastAsia"/>
          <w:sz w:val="32"/>
          <w:szCs w:val="32"/>
        </w:rPr>
        <w:t>亩，道路用地1</w:t>
      </w:r>
      <w:r w:rsidR="006D2E59">
        <w:rPr>
          <w:rFonts w:ascii="仿宋_GB2312" w:eastAsia="仿宋_GB2312" w:hAnsi="宋体" w:hint="eastAsia"/>
          <w:sz w:val="32"/>
          <w:szCs w:val="32"/>
        </w:rPr>
        <w:t>06.09</w:t>
      </w:r>
      <w:r>
        <w:rPr>
          <w:rFonts w:ascii="仿宋_GB2312" w:eastAsia="仿宋_GB2312" w:hAnsi="宋体" w:hint="eastAsia"/>
          <w:sz w:val="32"/>
          <w:szCs w:val="32"/>
        </w:rPr>
        <w:t>亩，城市山体公园169.11亩，防护绿地</w:t>
      </w:r>
      <w:r w:rsidR="006D2E59">
        <w:rPr>
          <w:rFonts w:ascii="仿宋_GB2312" w:eastAsia="仿宋_GB2312" w:hAnsi="宋体" w:hint="eastAsia"/>
          <w:sz w:val="32"/>
          <w:szCs w:val="32"/>
        </w:rPr>
        <w:t>27</w:t>
      </w:r>
      <w:r>
        <w:rPr>
          <w:rFonts w:ascii="仿宋_GB2312" w:eastAsia="仿宋_GB2312" w:hAnsi="宋体" w:hint="eastAsia"/>
          <w:sz w:val="32"/>
          <w:szCs w:val="32"/>
        </w:rPr>
        <w:t>.</w:t>
      </w:r>
      <w:r w:rsidR="006D2E59">
        <w:rPr>
          <w:rFonts w:ascii="仿宋_GB2312" w:eastAsia="仿宋_GB2312" w:hAnsi="宋体" w:hint="eastAsia"/>
          <w:sz w:val="32"/>
          <w:szCs w:val="32"/>
        </w:rPr>
        <w:t>1</w:t>
      </w:r>
      <w:r>
        <w:rPr>
          <w:rFonts w:ascii="仿宋_GB2312" w:eastAsia="仿宋_GB2312" w:hAnsi="宋体" w:hint="eastAsia"/>
          <w:sz w:val="32"/>
          <w:szCs w:val="32"/>
        </w:rPr>
        <w:t>亩。</w:t>
      </w:r>
      <w:r w:rsidR="00976F5A">
        <w:rPr>
          <w:rFonts w:ascii="仿宋_GB2312" w:eastAsia="仿宋_GB2312" w:hAnsi="宋体" w:hint="eastAsia"/>
          <w:sz w:val="32"/>
          <w:szCs w:val="32"/>
        </w:rPr>
        <w:t>（具体</w:t>
      </w:r>
      <w:r w:rsidR="00642CA8">
        <w:rPr>
          <w:rFonts w:ascii="仿宋_GB2312" w:eastAsia="仿宋_GB2312" w:hAnsi="宋体" w:hint="eastAsia"/>
          <w:sz w:val="32"/>
          <w:szCs w:val="32"/>
        </w:rPr>
        <w:t>范围</w:t>
      </w:r>
      <w:r w:rsidR="00976F5A">
        <w:rPr>
          <w:rFonts w:ascii="仿宋_GB2312" w:eastAsia="仿宋_GB2312" w:hAnsi="宋体" w:hint="eastAsia"/>
          <w:sz w:val="32"/>
          <w:szCs w:val="32"/>
        </w:rPr>
        <w:t>详见</w:t>
      </w:r>
      <w:r w:rsidR="00526609">
        <w:rPr>
          <w:rFonts w:ascii="仿宋_GB2312" w:eastAsia="仿宋_GB2312" w:hAnsi="宋体" w:hint="eastAsia"/>
          <w:sz w:val="32"/>
          <w:szCs w:val="32"/>
        </w:rPr>
        <w:t>附件1：</w:t>
      </w:r>
      <w:r w:rsidR="00976F5A">
        <w:rPr>
          <w:rFonts w:ascii="仿宋_GB2312" w:eastAsia="仿宋_GB2312" w:hAnsi="宋体" w:hint="eastAsia"/>
          <w:sz w:val="32"/>
          <w:szCs w:val="32"/>
        </w:rPr>
        <w:t>杨源小学片区开发</w:t>
      </w:r>
      <w:r w:rsidR="00E3505D">
        <w:rPr>
          <w:rFonts w:ascii="仿宋_GB2312" w:eastAsia="仿宋_GB2312" w:hAnsi="宋体" w:hint="eastAsia"/>
          <w:sz w:val="32"/>
          <w:szCs w:val="32"/>
        </w:rPr>
        <w:t>项目平面</w:t>
      </w:r>
      <w:r w:rsidR="00976F5A">
        <w:rPr>
          <w:rFonts w:ascii="仿宋_GB2312" w:eastAsia="仿宋_GB2312" w:hAnsi="宋体" w:hint="eastAsia"/>
          <w:sz w:val="32"/>
          <w:szCs w:val="32"/>
        </w:rPr>
        <w:t>图</w:t>
      </w:r>
      <w:r w:rsidR="00E3505D">
        <w:rPr>
          <w:rFonts w:ascii="仿宋_GB2312" w:eastAsia="仿宋_GB2312" w:hAnsi="宋体" w:hint="eastAsia"/>
          <w:sz w:val="32"/>
          <w:szCs w:val="32"/>
        </w:rPr>
        <w:t>）</w:t>
      </w:r>
    </w:p>
    <w:p w14:paraId="3E7013A7" w14:textId="6EE3A390" w:rsidR="00E3505D" w:rsidRPr="00D03220" w:rsidRDefault="00E3505D" w:rsidP="00BE6873">
      <w:pPr>
        <w:widowControl w:val="0"/>
        <w:spacing w:line="640" w:lineRule="exact"/>
        <w:ind w:firstLineChars="200" w:firstLine="643"/>
        <w:textAlignment w:val="auto"/>
        <w:rPr>
          <w:rFonts w:ascii="楷体_GB2312" w:eastAsia="楷体_GB2312" w:hAnsi="宋体"/>
          <w:b/>
          <w:bCs/>
          <w:sz w:val="32"/>
          <w:szCs w:val="32"/>
        </w:rPr>
      </w:pPr>
      <w:r w:rsidRPr="00D03220">
        <w:rPr>
          <w:rFonts w:ascii="楷体_GB2312" w:eastAsia="楷体_GB2312" w:hAnsi="宋体" w:hint="eastAsia"/>
          <w:b/>
          <w:bCs/>
          <w:sz w:val="32"/>
          <w:szCs w:val="32"/>
        </w:rPr>
        <w:t>（二）基础设施建设</w:t>
      </w:r>
    </w:p>
    <w:p w14:paraId="154D360E" w14:textId="77777777" w:rsidR="00D03220" w:rsidRPr="00D03220" w:rsidRDefault="00642CA8" w:rsidP="00BE6873">
      <w:pPr>
        <w:pStyle w:val="a0"/>
        <w:spacing w:before="0" w:line="640" w:lineRule="exact"/>
        <w:ind w:left="0" w:firstLineChars="200" w:firstLine="643"/>
        <w:rPr>
          <w:rFonts w:ascii="仿宋_GB2312" w:eastAsia="仿宋_GB2312" w:hAnsi="宋体"/>
          <w:b/>
          <w:bCs/>
          <w:kern w:val="2"/>
          <w:sz w:val="32"/>
          <w:szCs w:val="32"/>
        </w:rPr>
      </w:pPr>
      <w:r w:rsidRPr="00D03220">
        <w:rPr>
          <w:rFonts w:ascii="仿宋_GB2312" w:eastAsia="仿宋_GB2312" w:hAnsi="宋体" w:hint="eastAsia"/>
          <w:b/>
          <w:bCs/>
          <w:kern w:val="2"/>
          <w:sz w:val="32"/>
          <w:szCs w:val="32"/>
        </w:rPr>
        <w:t>1、</w:t>
      </w:r>
      <w:r w:rsidR="00D03220" w:rsidRPr="00D03220">
        <w:rPr>
          <w:rFonts w:ascii="仿宋_GB2312" w:eastAsia="仿宋_GB2312" w:hAnsi="宋体" w:hint="eastAsia"/>
          <w:b/>
          <w:bCs/>
          <w:kern w:val="2"/>
          <w:sz w:val="32"/>
          <w:szCs w:val="32"/>
        </w:rPr>
        <w:t>建设任务</w:t>
      </w:r>
    </w:p>
    <w:p w14:paraId="0EB34663" w14:textId="44034CCD" w:rsidR="00E1779B" w:rsidRDefault="0052660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kern w:val="2"/>
          <w:sz w:val="32"/>
          <w:szCs w:val="32"/>
        </w:rPr>
        <w:t>片区开发经营权</w:t>
      </w:r>
      <w:r w:rsidR="00305A1C">
        <w:rPr>
          <w:rFonts w:ascii="仿宋_GB2312" w:eastAsia="仿宋_GB2312" w:hAnsi="宋体" w:hint="eastAsia"/>
          <w:kern w:val="2"/>
          <w:sz w:val="32"/>
          <w:szCs w:val="32"/>
        </w:rPr>
        <w:t>买受人</w:t>
      </w:r>
      <w:r>
        <w:rPr>
          <w:rFonts w:ascii="仿宋_GB2312" w:eastAsia="仿宋_GB2312" w:hAnsi="宋体" w:hint="eastAsia"/>
          <w:kern w:val="2"/>
          <w:sz w:val="32"/>
          <w:szCs w:val="32"/>
        </w:rPr>
        <w:t>须</w:t>
      </w:r>
      <w:r w:rsidR="00E1779B" w:rsidRPr="00E1779B">
        <w:rPr>
          <w:rFonts w:ascii="仿宋_GB2312" w:eastAsia="仿宋_GB2312" w:hAnsi="宋体" w:hint="eastAsia"/>
          <w:kern w:val="2"/>
          <w:sz w:val="32"/>
          <w:szCs w:val="32"/>
        </w:rPr>
        <w:t>按政府</w:t>
      </w:r>
      <w:r w:rsidR="00E1779B">
        <w:rPr>
          <w:rFonts w:ascii="仿宋_GB2312" w:eastAsia="仿宋_GB2312" w:hAnsi="宋体" w:hint="eastAsia"/>
          <w:kern w:val="2"/>
          <w:sz w:val="32"/>
          <w:szCs w:val="32"/>
        </w:rPr>
        <w:t>审</w:t>
      </w:r>
      <w:r w:rsidR="00E1779B" w:rsidRPr="00E1779B">
        <w:rPr>
          <w:rFonts w:ascii="仿宋_GB2312" w:eastAsia="仿宋_GB2312" w:hAnsi="宋体" w:hint="eastAsia"/>
          <w:kern w:val="2"/>
          <w:sz w:val="32"/>
          <w:szCs w:val="32"/>
        </w:rPr>
        <w:t>定的规划方案、设计图纸及</w:t>
      </w:r>
      <w:r w:rsidR="00E1779B">
        <w:rPr>
          <w:rFonts w:ascii="仿宋_GB2312" w:eastAsia="仿宋_GB2312" w:hAnsi="宋体" w:hint="eastAsia"/>
          <w:kern w:val="2"/>
          <w:sz w:val="32"/>
          <w:szCs w:val="32"/>
        </w:rPr>
        <w:t>经</w:t>
      </w:r>
      <w:r w:rsidR="00E1779B" w:rsidRPr="00E1779B">
        <w:rPr>
          <w:rFonts w:ascii="仿宋_GB2312" w:eastAsia="仿宋_GB2312" w:hAnsi="宋体" w:hint="eastAsia"/>
          <w:kern w:val="2"/>
          <w:sz w:val="32"/>
          <w:szCs w:val="32"/>
        </w:rPr>
        <w:t>财审</w:t>
      </w:r>
      <w:r w:rsidR="00E1779B">
        <w:rPr>
          <w:rFonts w:ascii="仿宋_GB2312" w:eastAsia="仿宋_GB2312" w:hAnsi="宋体" w:hint="eastAsia"/>
          <w:kern w:val="2"/>
          <w:sz w:val="32"/>
          <w:szCs w:val="32"/>
        </w:rPr>
        <w:t>的工程预算书规定的标准和内容</w:t>
      </w:r>
      <w:r w:rsidR="00E1779B" w:rsidRPr="00E1779B">
        <w:rPr>
          <w:rFonts w:ascii="仿宋_GB2312" w:eastAsia="仿宋_GB2312" w:hAnsi="宋体" w:hint="eastAsia"/>
          <w:kern w:val="2"/>
          <w:sz w:val="32"/>
          <w:szCs w:val="32"/>
        </w:rPr>
        <w:t>，投资完成</w:t>
      </w:r>
      <w:r w:rsidR="00E1779B">
        <w:rPr>
          <w:rFonts w:ascii="仿宋_GB2312" w:eastAsia="仿宋_GB2312" w:hAnsi="宋体" w:hint="eastAsia"/>
          <w:kern w:val="2"/>
          <w:sz w:val="32"/>
          <w:szCs w:val="32"/>
        </w:rPr>
        <w:t>“基础设施</w:t>
      </w:r>
      <w:r w:rsidR="00E1779B">
        <w:rPr>
          <w:rFonts w:ascii="仿宋_GB2312" w:eastAsia="仿宋_GB2312" w:hAnsi="宋体" w:hint="eastAsia"/>
          <w:kern w:val="2"/>
          <w:sz w:val="32"/>
          <w:szCs w:val="32"/>
        </w:rPr>
        <w:lastRenderedPageBreak/>
        <w:t>建设项目清单”（附件</w:t>
      </w:r>
      <w:r>
        <w:rPr>
          <w:rFonts w:ascii="仿宋_GB2312" w:eastAsia="仿宋_GB2312" w:hAnsi="宋体" w:hint="eastAsia"/>
          <w:kern w:val="2"/>
          <w:sz w:val="32"/>
          <w:szCs w:val="32"/>
        </w:rPr>
        <w:t>2</w:t>
      </w:r>
      <w:r w:rsidR="00E1779B">
        <w:rPr>
          <w:rFonts w:ascii="仿宋_GB2312" w:eastAsia="仿宋_GB2312" w:hAnsi="宋体" w:hint="eastAsia"/>
          <w:kern w:val="2"/>
          <w:sz w:val="32"/>
          <w:szCs w:val="32"/>
        </w:rPr>
        <w:t>）</w:t>
      </w:r>
      <w:r w:rsidR="00AB232F">
        <w:rPr>
          <w:rFonts w:ascii="仿宋_GB2312" w:eastAsia="仿宋_GB2312" w:hAnsi="宋体" w:hint="eastAsia"/>
          <w:kern w:val="2"/>
          <w:sz w:val="32"/>
          <w:szCs w:val="32"/>
        </w:rPr>
        <w:t>中</w:t>
      </w:r>
      <w:r w:rsidR="00E1779B">
        <w:rPr>
          <w:rFonts w:ascii="仿宋_GB2312" w:eastAsia="仿宋_GB2312" w:hAnsi="宋体" w:hint="eastAsia"/>
          <w:kern w:val="2"/>
          <w:sz w:val="32"/>
          <w:szCs w:val="32"/>
        </w:rPr>
        <w:t>的项目建设</w:t>
      </w:r>
      <w:r w:rsidR="00AB232F">
        <w:rPr>
          <w:rFonts w:ascii="仿宋_GB2312" w:eastAsia="仿宋_GB2312" w:hAnsi="宋体" w:hint="eastAsia"/>
          <w:kern w:val="2"/>
          <w:sz w:val="32"/>
          <w:szCs w:val="32"/>
        </w:rPr>
        <w:t>任务</w:t>
      </w:r>
      <w:r w:rsidR="00E1779B">
        <w:rPr>
          <w:rFonts w:ascii="仿宋_GB2312" w:eastAsia="仿宋_GB2312" w:hAnsi="宋体" w:hint="eastAsia"/>
          <w:kern w:val="2"/>
          <w:sz w:val="32"/>
          <w:szCs w:val="32"/>
        </w:rPr>
        <w:t>，建成验收合格后移交政府相关部门。</w:t>
      </w:r>
    </w:p>
    <w:p w14:paraId="2A79F500" w14:textId="1E240283" w:rsidR="00E1779B" w:rsidRPr="00E1779B" w:rsidRDefault="00D03220" w:rsidP="00BE6873">
      <w:pPr>
        <w:widowControl w:val="0"/>
        <w:spacing w:line="640" w:lineRule="exact"/>
        <w:ind w:firstLineChars="200" w:firstLine="643"/>
        <w:textAlignment w:val="auto"/>
        <w:rPr>
          <w:rFonts w:ascii="仿宋_GB2312" w:eastAsia="仿宋_GB2312" w:hAnsi="宋体"/>
          <w:b/>
          <w:bCs/>
          <w:sz w:val="32"/>
          <w:szCs w:val="32"/>
        </w:rPr>
      </w:pPr>
      <w:r>
        <w:rPr>
          <w:rFonts w:ascii="仿宋_GB2312" w:eastAsia="仿宋_GB2312" w:hAnsi="宋体" w:hint="eastAsia"/>
          <w:b/>
          <w:bCs/>
          <w:sz w:val="32"/>
          <w:szCs w:val="32"/>
        </w:rPr>
        <w:t>2、</w:t>
      </w:r>
      <w:r w:rsidR="00E1779B" w:rsidRPr="00E1779B">
        <w:rPr>
          <w:rFonts w:ascii="仿宋_GB2312" w:eastAsia="仿宋_GB2312" w:hAnsi="宋体" w:hint="eastAsia"/>
          <w:b/>
          <w:bCs/>
          <w:sz w:val="32"/>
          <w:szCs w:val="32"/>
        </w:rPr>
        <w:t>时间要求</w:t>
      </w:r>
    </w:p>
    <w:p w14:paraId="6845CC4E" w14:textId="017A466B" w:rsidR="00E1779B" w:rsidRPr="00E1779B" w:rsidRDefault="00D03220"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sz w:val="32"/>
          <w:szCs w:val="32"/>
        </w:rPr>
        <w:t>（1</w:t>
      </w:r>
      <w:r>
        <w:rPr>
          <w:rFonts w:ascii="仿宋_GB2312" w:eastAsia="仿宋_GB2312" w:hAnsi="宋体"/>
          <w:sz w:val="32"/>
          <w:szCs w:val="32"/>
        </w:rPr>
        <w:t>）</w:t>
      </w:r>
      <w:r w:rsidR="00E1779B">
        <w:rPr>
          <w:rFonts w:ascii="仿宋_GB2312" w:eastAsia="仿宋_GB2312" w:hAnsi="宋体" w:hint="eastAsia"/>
          <w:sz w:val="32"/>
          <w:szCs w:val="32"/>
        </w:rPr>
        <w:t>市政道路及相关配套设施建设要求在</w:t>
      </w:r>
      <w:r w:rsidR="00E1779B">
        <w:rPr>
          <w:rFonts w:ascii="仿宋_GB2312" w:eastAsia="仿宋_GB2312" w:hAnsi="宋体"/>
          <w:sz w:val="32"/>
          <w:szCs w:val="32"/>
        </w:rPr>
        <w:t>12</w:t>
      </w:r>
      <w:r w:rsidR="00E1779B">
        <w:rPr>
          <w:rFonts w:ascii="仿宋_GB2312" w:eastAsia="仿宋_GB2312" w:hAnsi="宋体" w:hint="eastAsia"/>
          <w:sz w:val="32"/>
          <w:szCs w:val="32"/>
        </w:rPr>
        <w:t>个月内完成；</w:t>
      </w:r>
    </w:p>
    <w:p w14:paraId="58BBBF46" w14:textId="00AA2139" w:rsidR="00E1779B" w:rsidRDefault="00D03220" w:rsidP="00BE6873">
      <w:pPr>
        <w:pStyle w:val="a0"/>
        <w:spacing w:before="0" w:line="64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（2）</w:t>
      </w:r>
      <w:r w:rsidR="00E1779B">
        <w:rPr>
          <w:rFonts w:ascii="仿宋_GB2312" w:eastAsia="仿宋_GB2312" w:hAnsi="宋体" w:hint="eastAsia"/>
          <w:sz w:val="32"/>
          <w:szCs w:val="32"/>
        </w:rPr>
        <w:t>杨源小学、城市公园建设要求在</w:t>
      </w:r>
      <w:r w:rsidR="00E1779B">
        <w:rPr>
          <w:rFonts w:ascii="仿宋_GB2312" w:eastAsia="仿宋_GB2312" w:hAnsi="宋体"/>
          <w:sz w:val="32"/>
          <w:szCs w:val="32"/>
        </w:rPr>
        <w:t>18</w:t>
      </w:r>
      <w:r w:rsidR="00E1779B">
        <w:rPr>
          <w:rFonts w:ascii="仿宋_GB2312" w:eastAsia="仿宋_GB2312" w:hAnsi="宋体" w:hint="eastAsia"/>
          <w:sz w:val="32"/>
          <w:szCs w:val="32"/>
        </w:rPr>
        <w:t>个月内完成；</w:t>
      </w:r>
    </w:p>
    <w:p w14:paraId="3590D094" w14:textId="2CD5A456" w:rsidR="00E1779B"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（3）</w:t>
      </w:r>
      <w:r w:rsidR="00E1779B">
        <w:rPr>
          <w:rFonts w:ascii="仿宋_GB2312" w:eastAsia="仿宋_GB2312" w:hAnsi="宋体" w:hint="eastAsia"/>
          <w:sz w:val="32"/>
          <w:szCs w:val="32"/>
        </w:rPr>
        <w:t>项目建设周期自</w:t>
      </w:r>
      <w:r w:rsidR="0074659A">
        <w:rPr>
          <w:rFonts w:ascii="仿宋_GB2312" w:eastAsia="仿宋_GB2312" w:hAnsi="宋体" w:hint="eastAsia"/>
          <w:sz w:val="32"/>
          <w:szCs w:val="32"/>
        </w:rPr>
        <w:t>项目规划方案、</w:t>
      </w:r>
      <w:r w:rsidR="00E1779B">
        <w:rPr>
          <w:rFonts w:ascii="仿宋_GB2312" w:eastAsia="仿宋_GB2312" w:hAnsi="宋体" w:hint="eastAsia"/>
          <w:sz w:val="32"/>
          <w:szCs w:val="32"/>
        </w:rPr>
        <w:t>设计图纸、经财审的工程预算资料移交之日起计算。</w:t>
      </w:r>
    </w:p>
    <w:p w14:paraId="7FDB5477" w14:textId="2FFB095A" w:rsidR="00D03220" w:rsidRPr="00D03220" w:rsidRDefault="00D03220" w:rsidP="00BE6873">
      <w:pPr>
        <w:widowControl w:val="0"/>
        <w:spacing w:line="640" w:lineRule="exact"/>
        <w:ind w:firstLineChars="200" w:firstLine="643"/>
        <w:textAlignment w:val="auto"/>
        <w:rPr>
          <w:rFonts w:ascii="仿宋_GB2312" w:eastAsia="仿宋_GB2312" w:hAnsi="宋体"/>
          <w:b/>
          <w:bCs/>
          <w:sz w:val="32"/>
          <w:szCs w:val="32"/>
        </w:rPr>
      </w:pPr>
      <w:r w:rsidRPr="00D03220">
        <w:rPr>
          <w:rFonts w:ascii="仿宋_GB2312" w:eastAsia="仿宋_GB2312" w:hAnsi="宋体" w:hint="eastAsia"/>
          <w:b/>
          <w:bCs/>
          <w:sz w:val="32"/>
          <w:szCs w:val="32"/>
        </w:rPr>
        <w:t>3、结算要求</w:t>
      </w:r>
    </w:p>
    <w:p w14:paraId="33B355F2" w14:textId="15FDE34C"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）《基础设施项目建设清单表》中的所有项目由片区开发</w:t>
      </w:r>
      <w:r w:rsidR="001612CC">
        <w:rPr>
          <w:rFonts w:ascii="仿宋_GB2312" w:eastAsia="仿宋_GB2312" w:hAnsi="宋体" w:hint="eastAsia"/>
          <w:sz w:val="32"/>
          <w:szCs w:val="32"/>
        </w:rPr>
        <w:t>经营权</w:t>
      </w:r>
      <w:r w:rsidR="00305A1C">
        <w:rPr>
          <w:rFonts w:ascii="仿宋_GB2312" w:eastAsia="仿宋_GB2312" w:hAnsi="宋体" w:hint="eastAsia"/>
          <w:sz w:val="32"/>
          <w:szCs w:val="32"/>
        </w:rPr>
        <w:t>买受人</w:t>
      </w:r>
      <w:r>
        <w:rPr>
          <w:rFonts w:ascii="仿宋_GB2312" w:eastAsia="仿宋_GB2312" w:hAnsi="宋体" w:hint="eastAsia"/>
          <w:sz w:val="32"/>
          <w:szCs w:val="32"/>
        </w:rPr>
        <w:t>负责投资建设，并全程接受政府监管和审计；片区开发</w:t>
      </w:r>
      <w:r w:rsidR="001612CC">
        <w:rPr>
          <w:rFonts w:ascii="仿宋_GB2312" w:eastAsia="仿宋_GB2312" w:hAnsi="宋体" w:hint="eastAsia"/>
          <w:sz w:val="32"/>
          <w:szCs w:val="32"/>
        </w:rPr>
        <w:t>权</w:t>
      </w:r>
      <w:r w:rsidR="00305A1C">
        <w:rPr>
          <w:rFonts w:ascii="仿宋_GB2312" w:eastAsia="仿宋_GB2312" w:hAnsi="宋体" w:hint="eastAsia"/>
          <w:sz w:val="32"/>
          <w:szCs w:val="32"/>
        </w:rPr>
        <w:t>买受人</w:t>
      </w:r>
      <w:r>
        <w:rPr>
          <w:rFonts w:ascii="仿宋_GB2312" w:eastAsia="仿宋_GB2312" w:hAnsi="宋体" w:hint="eastAsia"/>
          <w:sz w:val="32"/>
          <w:szCs w:val="32"/>
        </w:rPr>
        <w:t>投入的项目建设资金不计算利息；</w:t>
      </w:r>
    </w:p>
    <w:p w14:paraId="01F4FF22" w14:textId="5195A0C9"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sidRPr="00A4735A">
        <w:rPr>
          <w:rFonts w:ascii="仿宋_GB2312" w:eastAsia="仿宋_GB2312" w:hAnsi="宋体" w:hint="eastAsia"/>
          <w:sz w:val="32"/>
          <w:szCs w:val="32"/>
        </w:rPr>
        <w:t>政府在取得片区内土地出让收入后按建设进度和合同约定向片区开发</w:t>
      </w:r>
      <w:r w:rsidR="001612CC">
        <w:rPr>
          <w:rFonts w:ascii="仿宋_GB2312" w:eastAsia="仿宋_GB2312" w:hAnsi="宋体" w:hint="eastAsia"/>
          <w:sz w:val="32"/>
          <w:szCs w:val="32"/>
        </w:rPr>
        <w:t>经营权</w:t>
      </w:r>
      <w:r w:rsidR="00CA1713">
        <w:rPr>
          <w:rFonts w:ascii="仿宋_GB2312" w:eastAsia="仿宋_GB2312" w:hAnsi="宋体" w:hint="eastAsia"/>
          <w:sz w:val="32"/>
          <w:szCs w:val="32"/>
        </w:rPr>
        <w:t>买受人</w:t>
      </w:r>
      <w:r w:rsidRPr="00A4735A">
        <w:rPr>
          <w:rFonts w:ascii="仿宋_GB2312" w:eastAsia="仿宋_GB2312" w:hAnsi="宋体" w:hint="eastAsia"/>
          <w:sz w:val="32"/>
          <w:szCs w:val="32"/>
        </w:rPr>
        <w:t>支付基础设施项目资金。当政府取得片区土地出让收入不足以支付基础设施项目</w:t>
      </w:r>
      <w:r w:rsidR="00162A7B">
        <w:rPr>
          <w:rFonts w:ascii="仿宋_GB2312" w:eastAsia="仿宋_GB2312" w:hAnsi="宋体" w:hint="eastAsia"/>
          <w:sz w:val="32"/>
          <w:szCs w:val="32"/>
        </w:rPr>
        <w:t>资金</w:t>
      </w:r>
      <w:r w:rsidRPr="00A4735A">
        <w:rPr>
          <w:rFonts w:ascii="仿宋_GB2312" w:eastAsia="仿宋_GB2312" w:hAnsi="宋体" w:hint="eastAsia"/>
          <w:sz w:val="32"/>
          <w:szCs w:val="32"/>
        </w:rPr>
        <w:t>时，可在支付完已取得的片区土地出让收入后停止支付，余款待下次取得片区土地出让收入后再进行支付。</w:t>
      </w:r>
    </w:p>
    <w:p w14:paraId="2EEC6324" w14:textId="77777777"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片区基础设施项目投资主要包括项目报建费用、项目建设必要的设计监理检测费用、工程建设资金。项目报建费用、设计监理检测费用按实际发生并经审计认可后的金额结算；工程建设资金按政府现行财审标准审核确定的金额结算，其中学校项</w:t>
      </w:r>
      <w:r>
        <w:rPr>
          <w:rFonts w:ascii="仿宋_GB2312" w:eastAsia="仿宋_GB2312" w:hAnsi="宋体" w:hint="eastAsia"/>
          <w:sz w:val="32"/>
          <w:szCs w:val="32"/>
        </w:rPr>
        <w:lastRenderedPageBreak/>
        <w:t>目（不含土石方工程）造价财审不下浮，其他项目（不含土石方工程）造价按财审规定比例下浮，财审定额采用湖南省现行工程造价定额；</w:t>
      </w:r>
    </w:p>
    <w:p w14:paraId="3DA420DD" w14:textId="65F966F8"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（4）片区土石方工程量以《杨源小学片区开发项目土石方核算工程》设计文件核定的数据包干计算</w:t>
      </w:r>
      <w:r w:rsidR="00162A7B">
        <w:rPr>
          <w:rFonts w:ascii="仿宋_GB2312" w:eastAsia="仿宋_GB2312" w:hAnsi="宋体" w:hint="eastAsia"/>
          <w:sz w:val="32"/>
          <w:szCs w:val="32"/>
        </w:rPr>
        <w:t>，在片区规划标高未调整的情况下</w:t>
      </w:r>
      <w:r>
        <w:rPr>
          <w:rFonts w:ascii="仿宋_GB2312" w:eastAsia="仿宋_GB2312" w:hAnsi="宋体" w:hint="eastAsia"/>
          <w:sz w:val="32"/>
          <w:szCs w:val="32"/>
        </w:rPr>
        <w:t>不再调整；挖方区土石比以地勘报告数据为准；土</w:t>
      </w:r>
      <w:r w:rsidR="00162A7B">
        <w:rPr>
          <w:rFonts w:ascii="仿宋_GB2312" w:eastAsia="仿宋_GB2312" w:hAnsi="宋体" w:hint="eastAsia"/>
          <w:sz w:val="32"/>
          <w:szCs w:val="32"/>
        </w:rPr>
        <w:t>石</w:t>
      </w:r>
      <w:r>
        <w:rPr>
          <w:rFonts w:ascii="仿宋_GB2312" w:eastAsia="仿宋_GB2312" w:hAnsi="宋体" w:hint="eastAsia"/>
          <w:sz w:val="32"/>
          <w:szCs w:val="32"/>
        </w:rPr>
        <w:t>方运距以</w:t>
      </w:r>
      <w:r w:rsidR="00526609">
        <w:rPr>
          <w:rFonts w:ascii="仿宋_GB2312" w:eastAsia="仿宋_GB2312" w:hAnsi="宋体" w:hint="eastAsia"/>
          <w:sz w:val="32"/>
          <w:szCs w:val="32"/>
        </w:rPr>
        <w:t>实际发生运距为准</w:t>
      </w:r>
      <w:r w:rsidR="00162A7B">
        <w:rPr>
          <w:rFonts w:ascii="仿宋_GB2312" w:eastAsia="仿宋_GB2312" w:hAnsi="宋体" w:hint="eastAsia"/>
          <w:sz w:val="32"/>
          <w:szCs w:val="32"/>
        </w:rPr>
        <w:t>，</w:t>
      </w:r>
      <w:r>
        <w:rPr>
          <w:rFonts w:ascii="仿宋_GB2312" w:eastAsia="仿宋_GB2312" w:hAnsi="宋体" w:hint="eastAsia"/>
          <w:sz w:val="32"/>
          <w:szCs w:val="32"/>
        </w:rPr>
        <w:t>土石方工程造价按上述</w:t>
      </w:r>
      <w:r w:rsidR="00162A7B">
        <w:rPr>
          <w:rFonts w:ascii="仿宋_GB2312" w:eastAsia="仿宋_GB2312" w:hAnsi="宋体" w:hint="eastAsia"/>
          <w:sz w:val="32"/>
          <w:szCs w:val="32"/>
        </w:rPr>
        <w:t>规定</w:t>
      </w:r>
      <w:r>
        <w:rPr>
          <w:rFonts w:ascii="仿宋_GB2312" w:eastAsia="仿宋_GB2312" w:hAnsi="宋体" w:hint="eastAsia"/>
          <w:sz w:val="32"/>
          <w:szCs w:val="32"/>
        </w:rPr>
        <w:t>为依据编制的</w:t>
      </w:r>
      <w:r w:rsidR="00445CA0">
        <w:rPr>
          <w:rFonts w:ascii="仿宋_GB2312" w:eastAsia="仿宋_GB2312" w:hAnsi="宋体" w:hint="eastAsia"/>
          <w:sz w:val="32"/>
          <w:szCs w:val="32"/>
        </w:rPr>
        <w:t>工程造价</w:t>
      </w:r>
      <w:r>
        <w:rPr>
          <w:rFonts w:ascii="仿宋_GB2312" w:eastAsia="仿宋_GB2312" w:hAnsi="宋体" w:hint="eastAsia"/>
          <w:sz w:val="32"/>
          <w:szCs w:val="32"/>
        </w:rPr>
        <w:t>财审结果结算；</w:t>
      </w:r>
    </w:p>
    <w:p w14:paraId="5C8DA563" w14:textId="1A1108E4"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（5）片区基础设施建设项目原则上不允许设计变更，如确因实际需要变更的，必须事先征得政府主管部门同意并履行规定审批程序之后方可变更</w:t>
      </w:r>
      <w:r w:rsidR="00DD2527">
        <w:rPr>
          <w:rFonts w:ascii="仿宋_GB2312" w:eastAsia="仿宋_GB2312" w:hAnsi="宋体" w:hint="eastAsia"/>
          <w:sz w:val="32"/>
          <w:szCs w:val="32"/>
        </w:rPr>
        <w:t>，</w:t>
      </w:r>
      <w:r>
        <w:rPr>
          <w:rFonts w:ascii="仿宋_GB2312" w:eastAsia="仿宋_GB2312" w:hAnsi="宋体" w:hint="eastAsia"/>
          <w:sz w:val="32"/>
          <w:szCs w:val="32"/>
        </w:rPr>
        <w:t>变更项目必须保证现场签订资料真实完整。未按规定履行审批程序或签证资料缺失的变更项目不予认可。</w:t>
      </w:r>
    </w:p>
    <w:p w14:paraId="410E9E68" w14:textId="39E94BC0" w:rsidR="00D03220" w:rsidRDefault="00D03220"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（6）片区开发</w:t>
      </w:r>
      <w:r w:rsidR="000C049B">
        <w:rPr>
          <w:rFonts w:ascii="仿宋_GB2312" w:eastAsia="仿宋_GB2312" w:hAnsi="宋体" w:hint="eastAsia"/>
          <w:sz w:val="32"/>
          <w:szCs w:val="32"/>
        </w:rPr>
        <w:t>经营权买受人</w:t>
      </w:r>
      <w:r>
        <w:rPr>
          <w:rFonts w:ascii="仿宋_GB2312" w:eastAsia="仿宋_GB2312" w:hAnsi="宋体" w:hint="eastAsia"/>
          <w:sz w:val="32"/>
          <w:szCs w:val="32"/>
        </w:rPr>
        <w:t>因</w:t>
      </w:r>
      <w:r w:rsidR="00702EBC">
        <w:rPr>
          <w:rFonts w:ascii="仿宋_GB2312" w:eastAsia="仿宋_GB2312" w:hAnsi="宋体" w:hint="eastAsia"/>
          <w:sz w:val="32"/>
          <w:szCs w:val="32"/>
        </w:rPr>
        <w:t>自身</w:t>
      </w:r>
      <w:r>
        <w:rPr>
          <w:rFonts w:ascii="仿宋_GB2312" w:eastAsia="仿宋_GB2312" w:hAnsi="宋体" w:hint="eastAsia"/>
          <w:sz w:val="32"/>
          <w:szCs w:val="32"/>
        </w:rPr>
        <w:t>违法违规行为而导致的项目建设质量、安全事故所产生的经济损失由片区开发</w:t>
      </w:r>
      <w:r w:rsidR="001612CC">
        <w:rPr>
          <w:rFonts w:ascii="仿宋_GB2312" w:eastAsia="仿宋_GB2312" w:hAnsi="宋体" w:hint="eastAsia"/>
          <w:sz w:val="32"/>
          <w:szCs w:val="32"/>
        </w:rPr>
        <w:t>经营权</w:t>
      </w:r>
      <w:r w:rsidR="00305A1C">
        <w:rPr>
          <w:rFonts w:ascii="仿宋_GB2312" w:eastAsia="仿宋_GB2312" w:hAnsi="宋体" w:hint="eastAsia"/>
          <w:sz w:val="32"/>
          <w:szCs w:val="32"/>
        </w:rPr>
        <w:t>买受人</w:t>
      </w:r>
      <w:r>
        <w:rPr>
          <w:rFonts w:ascii="仿宋_GB2312" w:eastAsia="仿宋_GB2312" w:hAnsi="宋体" w:hint="eastAsia"/>
          <w:sz w:val="32"/>
          <w:szCs w:val="32"/>
        </w:rPr>
        <w:t>承担，政府不予补偿。</w:t>
      </w:r>
    </w:p>
    <w:p w14:paraId="5E697976" w14:textId="785F909A" w:rsidR="00684A7D" w:rsidRDefault="00684A7D"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（7）在片区开发过程中，经政府批准实施、未在《基础设施项目建设清单表》内的片区新增</w:t>
      </w:r>
      <w:r w:rsidR="008D7DA1">
        <w:rPr>
          <w:rFonts w:ascii="仿宋_GB2312" w:eastAsia="仿宋_GB2312" w:hAnsi="宋体" w:hint="eastAsia"/>
          <w:sz w:val="32"/>
          <w:szCs w:val="32"/>
        </w:rPr>
        <w:t>基础设施建设</w:t>
      </w:r>
      <w:r>
        <w:rPr>
          <w:rFonts w:ascii="仿宋_GB2312" w:eastAsia="仿宋_GB2312" w:hAnsi="宋体" w:hint="eastAsia"/>
          <w:sz w:val="32"/>
          <w:szCs w:val="32"/>
        </w:rPr>
        <w:t>项目，按上述规定进行项目结算。</w:t>
      </w:r>
    </w:p>
    <w:p w14:paraId="161510EF" w14:textId="6923CBA6" w:rsidR="00E1779B" w:rsidRPr="00526609" w:rsidRDefault="00526609" w:rsidP="00BE6873">
      <w:pPr>
        <w:pStyle w:val="a4"/>
        <w:spacing w:before="0" w:after="0" w:line="640" w:lineRule="exact"/>
        <w:ind w:firstLineChars="200" w:firstLine="643"/>
        <w:rPr>
          <w:rFonts w:ascii="楷体_GB2312" w:eastAsia="楷体_GB2312" w:hAnsi="宋体"/>
          <w:b/>
          <w:bCs/>
          <w:kern w:val="2"/>
          <w:sz w:val="32"/>
          <w:szCs w:val="32"/>
        </w:rPr>
      </w:pPr>
      <w:r w:rsidRPr="00526609">
        <w:rPr>
          <w:rFonts w:ascii="楷体_GB2312" w:eastAsia="楷体_GB2312" w:hAnsi="宋体" w:hint="eastAsia"/>
          <w:b/>
          <w:bCs/>
          <w:kern w:val="2"/>
          <w:sz w:val="32"/>
          <w:szCs w:val="32"/>
        </w:rPr>
        <w:t>（三）</w:t>
      </w:r>
      <w:r w:rsidR="005E2821">
        <w:rPr>
          <w:rFonts w:ascii="楷体_GB2312" w:eastAsia="楷体_GB2312" w:hAnsi="宋体" w:hint="eastAsia"/>
          <w:b/>
          <w:bCs/>
          <w:kern w:val="2"/>
          <w:sz w:val="32"/>
          <w:szCs w:val="32"/>
        </w:rPr>
        <w:t>商业、居住</w:t>
      </w:r>
      <w:r w:rsidRPr="00526609">
        <w:rPr>
          <w:rFonts w:ascii="楷体_GB2312" w:eastAsia="楷体_GB2312" w:hAnsi="宋体" w:hint="eastAsia"/>
          <w:b/>
          <w:bCs/>
          <w:kern w:val="2"/>
          <w:sz w:val="32"/>
          <w:szCs w:val="32"/>
        </w:rPr>
        <w:t>用地开发</w:t>
      </w:r>
    </w:p>
    <w:p w14:paraId="0218638C" w14:textId="4A7FECED" w:rsidR="00642CA8" w:rsidRPr="00684A7D" w:rsidRDefault="00512F0F" w:rsidP="00BE6873">
      <w:pPr>
        <w:widowControl w:val="0"/>
        <w:spacing w:line="640" w:lineRule="exact"/>
        <w:ind w:firstLineChars="200" w:firstLine="640"/>
        <w:textAlignment w:val="auto"/>
        <w:rPr>
          <w:rFonts w:ascii="仿宋_GB2312" w:eastAsia="仿宋_GB2312" w:hAnsi="宋体"/>
          <w:bCs/>
          <w:sz w:val="32"/>
          <w:szCs w:val="32"/>
        </w:rPr>
      </w:pPr>
      <w:r w:rsidRPr="00684A7D">
        <w:rPr>
          <w:rFonts w:ascii="仿宋_GB2312" w:eastAsia="仿宋_GB2312" w:hAnsi="宋体" w:hint="eastAsia"/>
          <w:bCs/>
          <w:sz w:val="32"/>
          <w:szCs w:val="32"/>
        </w:rPr>
        <w:t>1、</w:t>
      </w:r>
      <w:r w:rsidR="005E2821">
        <w:rPr>
          <w:rFonts w:ascii="仿宋_GB2312" w:eastAsia="仿宋_GB2312" w:hAnsi="宋体" w:hint="eastAsia"/>
          <w:bCs/>
          <w:sz w:val="32"/>
          <w:szCs w:val="32"/>
        </w:rPr>
        <w:t>商业、居住用</w:t>
      </w:r>
      <w:r w:rsidRPr="00684A7D">
        <w:rPr>
          <w:rFonts w:ascii="仿宋_GB2312" w:eastAsia="仿宋_GB2312" w:hAnsi="宋体" w:hint="eastAsia"/>
          <w:bCs/>
          <w:sz w:val="32"/>
          <w:szCs w:val="32"/>
        </w:rPr>
        <w:t>地是指《房地产开发配置土地</w:t>
      </w:r>
      <w:r w:rsidR="00684A7D" w:rsidRPr="00684A7D">
        <w:rPr>
          <w:rFonts w:ascii="仿宋_GB2312" w:eastAsia="仿宋_GB2312" w:hAnsi="宋体" w:hint="eastAsia"/>
          <w:bCs/>
          <w:sz w:val="32"/>
          <w:szCs w:val="32"/>
        </w:rPr>
        <w:t>清单</w:t>
      </w:r>
      <w:r w:rsidRPr="00684A7D">
        <w:rPr>
          <w:rFonts w:ascii="仿宋_GB2312" w:eastAsia="仿宋_GB2312" w:hAnsi="宋体" w:hint="eastAsia"/>
          <w:bCs/>
          <w:sz w:val="32"/>
          <w:szCs w:val="32"/>
        </w:rPr>
        <w:t>》</w:t>
      </w:r>
      <w:r w:rsidR="00684A7D" w:rsidRPr="00684A7D">
        <w:rPr>
          <w:rFonts w:ascii="仿宋_GB2312" w:eastAsia="仿宋_GB2312" w:hAnsi="宋体" w:hint="eastAsia"/>
          <w:bCs/>
          <w:sz w:val="32"/>
          <w:szCs w:val="32"/>
        </w:rPr>
        <w:t>（附</w:t>
      </w:r>
      <w:r w:rsidR="00B1580D">
        <w:rPr>
          <w:rFonts w:ascii="仿宋_GB2312" w:eastAsia="仿宋_GB2312" w:hAnsi="宋体" w:hint="eastAsia"/>
          <w:bCs/>
          <w:sz w:val="32"/>
          <w:szCs w:val="32"/>
        </w:rPr>
        <w:t>件</w:t>
      </w:r>
      <w:r w:rsidR="00684A7D" w:rsidRPr="00684A7D">
        <w:rPr>
          <w:rFonts w:ascii="仿宋_GB2312" w:eastAsia="仿宋_GB2312" w:hAnsi="宋体" w:hint="eastAsia"/>
          <w:bCs/>
          <w:sz w:val="32"/>
          <w:szCs w:val="32"/>
        </w:rPr>
        <w:lastRenderedPageBreak/>
        <w:t>3）</w:t>
      </w:r>
      <w:r w:rsidRPr="00684A7D">
        <w:rPr>
          <w:rFonts w:ascii="仿宋_GB2312" w:eastAsia="仿宋_GB2312" w:hAnsi="宋体" w:hint="eastAsia"/>
          <w:bCs/>
          <w:sz w:val="32"/>
          <w:szCs w:val="32"/>
        </w:rPr>
        <w:t>中的所有宗地；</w:t>
      </w:r>
    </w:p>
    <w:p w14:paraId="423BBE4A" w14:textId="2F3CAC33" w:rsidR="00684A7D" w:rsidRDefault="00684A7D" w:rsidP="00BE6873">
      <w:pPr>
        <w:pStyle w:val="a0"/>
        <w:spacing w:before="0" w:line="640" w:lineRule="exact"/>
        <w:ind w:left="0" w:firstLineChars="200" w:firstLine="640"/>
        <w:rPr>
          <w:rFonts w:ascii="仿宋_GB2312" w:eastAsia="仿宋_GB2312" w:hAnsi="宋体"/>
          <w:sz w:val="32"/>
          <w:szCs w:val="32"/>
        </w:rPr>
      </w:pPr>
      <w:r>
        <w:rPr>
          <w:rFonts w:ascii="仿宋_GB2312" w:eastAsia="仿宋_GB2312" w:hAnsi="宋体" w:hint="eastAsia"/>
          <w:kern w:val="2"/>
          <w:sz w:val="32"/>
          <w:szCs w:val="32"/>
        </w:rPr>
        <w:t>2、</w:t>
      </w:r>
      <w:r w:rsidR="005E2821">
        <w:rPr>
          <w:rFonts w:ascii="仿宋_GB2312" w:eastAsia="仿宋_GB2312" w:hAnsi="宋体" w:hint="eastAsia"/>
          <w:sz w:val="32"/>
          <w:szCs w:val="32"/>
        </w:rPr>
        <w:t>片区商业、居住</w:t>
      </w:r>
      <w:r>
        <w:rPr>
          <w:rFonts w:ascii="仿宋_GB2312" w:eastAsia="仿宋_GB2312" w:hAnsi="宋体" w:hint="eastAsia"/>
          <w:sz w:val="32"/>
          <w:szCs w:val="32"/>
        </w:rPr>
        <w:t>用地由政府面向社会公开挂牌出让，出让</w:t>
      </w:r>
      <w:r w:rsidR="00AC44B5">
        <w:rPr>
          <w:rFonts w:ascii="仿宋_GB2312" w:eastAsia="仿宋_GB2312" w:hAnsi="宋体" w:hint="eastAsia"/>
          <w:sz w:val="32"/>
          <w:szCs w:val="32"/>
        </w:rPr>
        <w:t>起始</w:t>
      </w:r>
      <w:r>
        <w:rPr>
          <w:rFonts w:ascii="仿宋_GB2312" w:eastAsia="仿宋_GB2312" w:hAnsi="宋体" w:hint="eastAsia"/>
          <w:sz w:val="32"/>
          <w:szCs w:val="32"/>
        </w:rPr>
        <w:t>价参照同期市场评估价格报县空间规委会批准后确定，</w:t>
      </w:r>
      <w:r w:rsidR="00CB5D7B">
        <w:rPr>
          <w:rFonts w:ascii="仿宋_GB2312" w:eastAsia="仿宋_GB2312" w:hAnsi="宋体" w:hint="eastAsia"/>
          <w:sz w:val="32"/>
          <w:szCs w:val="32"/>
        </w:rPr>
        <w:t>原则上</w:t>
      </w:r>
      <w:r w:rsidR="00CB5D7B" w:rsidRPr="00CB5D7B">
        <w:rPr>
          <w:rFonts w:ascii="仿宋_GB2312" w:eastAsia="仿宋_GB2312" w:hAnsi="宋体" w:hint="eastAsia"/>
          <w:sz w:val="32"/>
          <w:szCs w:val="32"/>
        </w:rPr>
        <w:t>不高于同时期同地段土地出让</w:t>
      </w:r>
      <w:r w:rsidR="00DB1C43">
        <w:rPr>
          <w:rFonts w:ascii="仿宋_GB2312" w:eastAsia="仿宋_GB2312" w:hAnsi="宋体" w:hint="eastAsia"/>
          <w:sz w:val="32"/>
          <w:szCs w:val="32"/>
        </w:rPr>
        <w:t>成交</w:t>
      </w:r>
      <w:r w:rsidR="00CB5D7B" w:rsidRPr="00CB5D7B">
        <w:rPr>
          <w:rFonts w:ascii="仿宋_GB2312" w:eastAsia="仿宋_GB2312" w:hAnsi="宋体" w:hint="eastAsia"/>
          <w:sz w:val="32"/>
          <w:szCs w:val="32"/>
        </w:rPr>
        <w:t>价格，</w:t>
      </w:r>
      <w:r>
        <w:rPr>
          <w:rFonts w:ascii="仿宋_GB2312" w:eastAsia="仿宋_GB2312" w:hAnsi="宋体" w:hint="eastAsia"/>
          <w:sz w:val="32"/>
          <w:szCs w:val="32"/>
        </w:rPr>
        <w:t>土地出让收入归政府所有；</w:t>
      </w:r>
    </w:p>
    <w:p w14:paraId="59A1A2C5" w14:textId="3B15DD5B" w:rsidR="00684A7D"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3</w:t>
      </w:r>
      <w:r w:rsidR="00684A7D">
        <w:rPr>
          <w:rFonts w:ascii="仿宋_GB2312" w:eastAsia="仿宋_GB2312" w:hAnsi="宋体" w:hint="eastAsia"/>
          <w:sz w:val="32"/>
          <w:szCs w:val="32"/>
        </w:rPr>
        <w:t>、</w:t>
      </w:r>
      <w:r w:rsidR="005E2821">
        <w:rPr>
          <w:rFonts w:ascii="仿宋_GB2312" w:eastAsia="仿宋_GB2312" w:hAnsi="宋体" w:hint="eastAsia"/>
          <w:sz w:val="32"/>
          <w:szCs w:val="32"/>
        </w:rPr>
        <w:t>片区商业、居住</w:t>
      </w:r>
      <w:r w:rsidR="00684A7D">
        <w:rPr>
          <w:rFonts w:ascii="仿宋_GB2312" w:eastAsia="仿宋_GB2312" w:hAnsi="宋体" w:hint="eastAsia"/>
          <w:sz w:val="32"/>
          <w:szCs w:val="32"/>
        </w:rPr>
        <w:t>用地分批分期挂牌出让。其中地块1、2应在片区开发经营权拍卖成交之日起1个月内挂牌出让，其余宗地应在片区开发经营权拍卖成交之日起24个月内完成挂牌出让；</w:t>
      </w:r>
    </w:p>
    <w:p w14:paraId="4912D8E4" w14:textId="700A50E5" w:rsidR="00CA1713"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4</w:t>
      </w:r>
      <w:r w:rsidR="00684A7D">
        <w:rPr>
          <w:rFonts w:ascii="仿宋_GB2312" w:eastAsia="仿宋_GB2312" w:hAnsi="宋体" w:hint="eastAsia"/>
          <w:sz w:val="32"/>
          <w:szCs w:val="32"/>
        </w:rPr>
        <w:t>、</w:t>
      </w:r>
      <w:r w:rsidR="00CA1713" w:rsidRPr="00CA1713">
        <w:rPr>
          <w:rFonts w:ascii="仿宋_GB2312" w:eastAsia="仿宋_GB2312" w:hAnsi="宋体" w:hint="eastAsia"/>
          <w:sz w:val="32"/>
          <w:szCs w:val="32"/>
        </w:rPr>
        <w:t>片区</w:t>
      </w:r>
      <w:r w:rsidR="005E2821">
        <w:rPr>
          <w:rFonts w:ascii="仿宋_GB2312" w:eastAsia="仿宋_GB2312" w:hAnsi="宋体" w:hint="eastAsia"/>
          <w:sz w:val="32"/>
          <w:szCs w:val="32"/>
        </w:rPr>
        <w:t>所有商业、居住用地</w:t>
      </w:r>
      <w:r w:rsidR="00CA1713" w:rsidRPr="00CA1713">
        <w:rPr>
          <w:rFonts w:ascii="仿宋_GB2312" w:eastAsia="仿宋_GB2312" w:hAnsi="宋体" w:hint="eastAsia"/>
          <w:sz w:val="32"/>
          <w:szCs w:val="32"/>
        </w:rPr>
        <w:t>挂牌出让时，片区开发经营权买受人必须参与土地挂牌出让，并按规定缴纳竞买保证金，完</w:t>
      </w:r>
      <w:r w:rsidR="00F1263D">
        <w:rPr>
          <w:rFonts w:ascii="仿宋_GB2312" w:eastAsia="仿宋_GB2312" w:hAnsi="宋体" w:hint="eastAsia"/>
          <w:sz w:val="32"/>
          <w:szCs w:val="32"/>
        </w:rPr>
        <w:t>成</w:t>
      </w:r>
      <w:r w:rsidR="00CA1713" w:rsidRPr="00CA1713">
        <w:rPr>
          <w:rFonts w:ascii="仿宋_GB2312" w:eastAsia="仿宋_GB2312" w:hAnsi="宋体" w:hint="eastAsia"/>
          <w:sz w:val="32"/>
          <w:szCs w:val="32"/>
        </w:rPr>
        <w:t>挂牌出让竞买申请、报价等相关手续。</w:t>
      </w:r>
    </w:p>
    <w:p w14:paraId="6957C896" w14:textId="0815D82D" w:rsidR="008D7DA1"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5</w:t>
      </w:r>
      <w:r w:rsidR="008D7DA1">
        <w:rPr>
          <w:rFonts w:ascii="仿宋_GB2312" w:eastAsia="仿宋_GB2312" w:hAnsi="宋体" w:hint="eastAsia"/>
          <w:sz w:val="32"/>
          <w:szCs w:val="32"/>
        </w:rPr>
        <w:t>、居住用地出让成交价格超过楼面地价</w:t>
      </w:r>
      <w:r w:rsidR="008D7DA1" w:rsidRPr="00644BFD">
        <w:rPr>
          <w:rFonts w:ascii="仿宋_GB2312" w:eastAsia="仿宋_GB2312" w:hAnsi="宋体"/>
          <w:sz w:val="32"/>
          <w:szCs w:val="32"/>
        </w:rPr>
        <w:t>1850</w:t>
      </w:r>
      <w:r w:rsidR="008D7DA1" w:rsidRPr="00644BFD">
        <w:rPr>
          <w:rFonts w:ascii="仿宋_GB2312" w:eastAsia="仿宋_GB2312" w:hAnsi="宋体" w:hint="eastAsia"/>
          <w:sz w:val="32"/>
          <w:szCs w:val="32"/>
        </w:rPr>
        <w:t>元</w:t>
      </w:r>
      <w:r w:rsidR="008D7DA1" w:rsidRPr="00644BFD">
        <w:rPr>
          <w:rFonts w:ascii="仿宋_GB2312" w:eastAsia="仿宋_GB2312" w:hAnsi="宋体"/>
          <w:sz w:val="32"/>
          <w:szCs w:val="32"/>
        </w:rPr>
        <w:t>/</w:t>
      </w:r>
      <w:r w:rsidR="008D7DA1" w:rsidRPr="00644BFD">
        <w:rPr>
          <w:rFonts w:ascii="仿宋_GB2312" w:eastAsia="仿宋_GB2312" w:hAnsi="宋体" w:hint="eastAsia"/>
          <w:sz w:val="32"/>
          <w:szCs w:val="32"/>
        </w:rPr>
        <w:t>平方米、商业用地出让成交价格超过1</w:t>
      </w:r>
      <w:r w:rsidR="008D7DA1">
        <w:rPr>
          <w:rFonts w:ascii="仿宋_GB2312" w:eastAsia="仿宋_GB2312" w:hAnsi="宋体"/>
          <w:sz w:val="32"/>
          <w:szCs w:val="32"/>
        </w:rPr>
        <w:t>10</w:t>
      </w:r>
      <w:r w:rsidR="008D7DA1" w:rsidRPr="00644BFD">
        <w:rPr>
          <w:rFonts w:ascii="仿宋_GB2312" w:eastAsia="仿宋_GB2312" w:hAnsi="宋体" w:hint="eastAsia"/>
          <w:sz w:val="32"/>
          <w:szCs w:val="32"/>
        </w:rPr>
        <w:t>万元</w:t>
      </w:r>
      <w:r w:rsidR="008D7DA1" w:rsidRPr="00644BFD">
        <w:rPr>
          <w:rFonts w:ascii="仿宋_GB2312" w:eastAsia="仿宋_GB2312" w:hAnsi="宋体"/>
          <w:sz w:val="32"/>
          <w:szCs w:val="32"/>
        </w:rPr>
        <w:t>/</w:t>
      </w:r>
      <w:r w:rsidR="008D7DA1" w:rsidRPr="00644BFD">
        <w:rPr>
          <w:rFonts w:ascii="仿宋_GB2312" w:eastAsia="仿宋_GB2312" w:hAnsi="宋体" w:hint="eastAsia"/>
          <w:sz w:val="32"/>
          <w:szCs w:val="32"/>
        </w:rPr>
        <w:t>亩时，超出</w:t>
      </w:r>
      <w:r w:rsidR="008D7DA1">
        <w:rPr>
          <w:rFonts w:ascii="仿宋_GB2312" w:eastAsia="仿宋_GB2312" w:hAnsi="宋体" w:hint="eastAsia"/>
          <w:sz w:val="32"/>
          <w:szCs w:val="32"/>
        </w:rPr>
        <w:t>部分土地价款在扣除省市规费后的</w:t>
      </w:r>
      <w:r w:rsidR="008D7DA1">
        <w:rPr>
          <w:rFonts w:ascii="仿宋_GB2312" w:eastAsia="仿宋_GB2312" w:hAnsi="宋体"/>
          <w:sz w:val="32"/>
          <w:szCs w:val="32"/>
        </w:rPr>
        <w:t>50%</w:t>
      </w:r>
      <w:r w:rsidR="008D7DA1">
        <w:rPr>
          <w:rFonts w:ascii="仿宋_GB2312" w:eastAsia="仿宋_GB2312" w:hAnsi="宋体" w:hint="eastAsia"/>
          <w:sz w:val="32"/>
          <w:szCs w:val="32"/>
        </w:rPr>
        <w:t>，由政府奖励给片区开发经营权</w:t>
      </w:r>
      <w:r w:rsidR="00305A1C">
        <w:rPr>
          <w:rFonts w:ascii="仿宋_GB2312" w:eastAsia="仿宋_GB2312" w:hAnsi="宋体" w:hint="eastAsia"/>
          <w:sz w:val="32"/>
          <w:szCs w:val="32"/>
        </w:rPr>
        <w:t>买受人</w:t>
      </w:r>
      <w:r w:rsidR="008D7DA1">
        <w:rPr>
          <w:rFonts w:ascii="仿宋_GB2312" w:eastAsia="仿宋_GB2312" w:hAnsi="宋体" w:hint="eastAsia"/>
          <w:sz w:val="32"/>
          <w:szCs w:val="32"/>
        </w:rPr>
        <w:t>。</w:t>
      </w:r>
    </w:p>
    <w:p w14:paraId="785B51F1" w14:textId="63B5F5F9" w:rsidR="00642CA8"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6</w:t>
      </w:r>
      <w:r w:rsidR="008D7DA1">
        <w:rPr>
          <w:rFonts w:ascii="仿宋_GB2312" w:eastAsia="仿宋_GB2312" w:hAnsi="宋体" w:hint="eastAsia"/>
          <w:sz w:val="32"/>
          <w:szCs w:val="32"/>
        </w:rPr>
        <w:t>、政府取得的片区土地出让收入必须专款专用，优先保障片区基础设施项目建设</w:t>
      </w:r>
      <w:r w:rsidR="003555F4">
        <w:rPr>
          <w:rFonts w:ascii="仿宋_GB2312" w:eastAsia="仿宋_GB2312" w:hAnsi="宋体" w:hint="eastAsia"/>
          <w:sz w:val="32"/>
          <w:szCs w:val="32"/>
        </w:rPr>
        <w:t>资金结算</w:t>
      </w:r>
      <w:r w:rsidR="008D7DA1">
        <w:rPr>
          <w:rFonts w:ascii="仿宋_GB2312" w:eastAsia="仿宋_GB2312" w:hAnsi="宋体" w:hint="eastAsia"/>
          <w:sz w:val="32"/>
          <w:szCs w:val="32"/>
        </w:rPr>
        <w:t>。</w:t>
      </w:r>
    </w:p>
    <w:p w14:paraId="71D11541" w14:textId="7930F712" w:rsidR="008D7DA1" w:rsidRDefault="008D7DA1" w:rsidP="00BE6873">
      <w:pPr>
        <w:widowControl w:val="0"/>
        <w:spacing w:line="640" w:lineRule="exact"/>
        <w:ind w:firstLineChars="200" w:firstLine="643"/>
        <w:textAlignment w:val="auto"/>
        <w:rPr>
          <w:rFonts w:ascii="楷体_GB2312" w:eastAsia="楷体_GB2312" w:hAnsi="宋体"/>
          <w:b/>
          <w:bCs/>
          <w:sz w:val="32"/>
          <w:szCs w:val="32"/>
        </w:rPr>
      </w:pPr>
      <w:r>
        <w:rPr>
          <w:rFonts w:ascii="楷体_GB2312" w:eastAsia="楷体_GB2312" w:hAnsi="宋体" w:hint="eastAsia"/>
          <w:b/>
          <w:bCs/>
          <w:sz w:val="32"/>
          <w:szCs w:val="32"/>
        </w:rPr>
        <w:t>（四）履约监管要求</w:t>
      </w:r>
    </w:p>
    <w:p w14:paraId="7D295419" w14:textId="7328E006" w:rsidR="008D7DA1" w:rsidRPr="00AD70CC" w:rsidRDefault="008D7DA1"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、片区开发经营权</w:t>
      </w:r>
      <w:r w:rsidR="002B0134">
        <w:rPr>
          <w:rFonts w:ascii="仿宋_GB2312" w:eastAsia="仿宋_GB2312" w:hAnsi="宋体" w:hint="eastAsia"/>
          <w:sz w:val="32"/>
          <w:szCs w:val="32"/>
        </w:rPr>
        <w:t>买受人</w:t>
      </w:r>
      <w:r>
        <w:rPr>
          <w:rFonts w:ascii="仿宋_GB2312" w:eastAsia="仿宋_GB2312" w:hAnsi="宋体" w:hint="eastAsia"/>
          <w:sz w:val="32"/>
          <w:szCs w:val="32"/>
        </w:rPr>
        <w:t>，共应缴纳</w:t>
      </w:r>
      <w:r>
        <w:rPr>
          <w:rFonts w:ascii="仿宋_GB2312" w:eastAsia="仿宋_GB2312" w:hAnsi="宋体"/>
          <w:sz w:val="32"/>
          <w:szCs w:val="32"/>
        </w:rPr>
        <w:t>8000</w:t>
      </w:r>
      <w:r>
        <w:rPr>
          <w:rFonts w:ascii="仿宋_GB2312" w:eastAsia="仿宋_GB2312" w:hAnsi="宋体" w:hint="eastAsia"/>
          <w:sz w:val="32"/>
          <w:szCs w:val="32"/>
        </w:rPr>
        <w:t>万元的项目履约保证金。其中，第一期履约保证金5</w:t>
      </w:r>
      <w:r>
        <w:rPr>
          <w:rFonts w:ascii="仿宋_GB2312" w:eastAsia="仿宋_GB2312" w:hAnsi="宋体"/>
          <w:sz w:val="32"/>
          <w:szCs w:val="32"/>
        </w:rPr>
        <w:t>000</w:t>
      </w:r>
      <w:r>
        <w:rPr>
          <w:rFonts w:ascii="仿宋_GB2312" w:eastAsia="仿宋_GB2312" w:hAnsi="宋体" w:hint="eastAsia"/>
          <w:sz w:val="32"/>
          <w:szCs w:val="32"/>
        </w:rPr>
        <w:t>万元，在片区开发经营权拍卖</w:t>
      </w:r>
      <w:r w:rsidR="00B1580D">
        <w:rPr>
          <w:rFonts w:ascii="仿宋_GB2312" w:eastAsia="仿宋_GB2312" w:hAnsi="宋体" w:hint="eastAsia"/>
          <w:sz w:val="32"/>
          <w:szCs w:val="32"/>
        </w:rPr>
        <w:t>前缴纳</w:t>
      </w:r>
      <w:r w:rsidR="00D045FB">
        <w:rPr>
          <w:rFonts w:ascii="仿宋_GB2312" w:eastAsia="仿宋_GB2312" w:hAnsi="宋体" w:hint="eastAsia"/>
          <w:sz w:val="32"/>
          <w:szCs w:val="32"/>
        </w:rPr>
        <w:t>（</w:t>
      </w:r>
      <w:r w:rsidR="00D045FB" w:rsidRPr="00D045FB">
        <w:rPr>
          <w:rFonts w:ascii="仿宋_GB2312" w:eastAsia="仿宋_GB2312" w:hAnsi="宋体" w:hint="eastAsia"/>
          <w:sz w:val="32"/>
          <w:szCs w:val="32"/>
        </w:rPr>
        <w:t>未竞</w:t>
      </w:r>
      <w:r w:rsidR="00D045FB">
        <w:rPr>
          <w:rFonts w:ascii="仿宋_GB2312" w:eastAsia="仿宋_GB2312" w:hAnsi="宋体" w:hint="eastAsia"/>
          <w:sz w:val="32"/>
          <w:szCs w:val="32"/>
        </w:rPr>
        <w:t>得片区开发经营权的</w:t>
      </w:r>
      <w:r w:rsidR="00D045FB" w:rsidRPr="00D045FB">
        <w:rPr>
          <w:rFonts w:ascii="仿宋_GB2312" w:eastAsia="仿宋_GB2312" w:hAnsi="宋体" w:hint="eastAsia"/>
          <w:sz w:val="32"/>
          <w:szCs w:val="32"/>
        </w:rPr>
        <w:t>，</w:t>
      </w:r>
      <w:r w:rsidR="00282653">
        <w:rPr>
          <w:rFonts w:ascii="仿宋_GB2312" w:eastAsia="仿宋_GB2312" w:hAnsi="宋体" w:hint="eastAsia"/>
          <w:sz w:val="32"/>
          <w:szCs w:val="32"/>
        </w:rPr>
        <w:t>已缴纳的</w:t>
      </w:r>
      <w:r w:rsidR="00D045FB">
        <w:rPr>
          <w:rFonts w:ascii="仿宋_GB2312" w:eastAsia="仿宋_GB2312" w:hAnsi="宋体" w:hint="eastAsia"/>
          <w:sz w:val="32"/>
          <w:szCs w:val="32"/>
        </w:rPr>
        <w:t>履约</w:t>
      </w:r>
      <w:r w:rsidR="00D045FB" w:rsidRPr="00D045FB">
        <w:rPr>
          <w:rFonts w:ascii="仿宋_GB2312" w:eastAsia="仿宋_GB2312" w:hAnsi="宋体" w:hint="eastAsia"/>
          <w:sz w:val="32"/>
          <w:szCs w:val="32"/>
        </w:rPr>
        <w:t>保证金</w:t>
      </w:r>
      <w:r w:rsidR="00D045FB" w:rsidRPr="00D045FB">
        <w:rPr>
          <w:rFonts w:ascii="仿宋_GB2312" w:eastAsia="仿宋_GB2312" w:hAnsi="宋体" w:hint="eastAsia"/>
          <w:sz w:val="32"/>
          <w:szCs w:val="32"/>
        </w:rPr>
        <w:lastRenderedPageBreak/>
        <w:t>在10个工作日内退还，不计利息</w:t>
      </w:r>
      <w:r w:rsidR="00D045FB">
        <w:rPr>
          <w:rFonts w:ascii="仿宋_GB2312" w:eastAsia="仿宋_GB2312" w:hAnsi="宋体" w:hint="eastAsia"/>
          <w:sz w:val="32"/>
          <w:szCs w:val="32"/>
        </w:rPr>
        <w:t>）</w:t>
      </w:r>
      <w:r>
        <w:rPr>
          <w:rFonts w:ascii="仿宋_GB2312" w:eastAsia="仿宋_GB2312" w:hAnsi="宋体" w:hint="eastAsia"/>
          <w:sz w:val="32"/>
          <w:szCs w:val="32"/>
        </w:rPr>
        <w:t>；</w:t>
      </w:r>
      <w:r w:rsidRPr="00AD70CC">
        <w:rPr>
          <w:rFonts w:ascii="仿宋_GB2312" w:eastAsia="仿宋_GB2312" w:hAnsi="宋体" w:hint="eastAsia"/>
          <w:sz w:val="32"/>
          <w:szCs w:val="32"/>
        </w:rPr>
        <w:t>第二期保证金3</w:t>
      </w:r>
      <w:r w:rsidRPr="00AD70CC">
        <w:rPr>
          <w:rFonts w:ascii="仿宋_GB2312" w:eastAsia="仿宋_GB2312" w:hAnsi="宋体"/>
          <w:sz w:val="32"/>
          <w:szCs w:val="32"/>
        </w:rPr>
        <w:t>000</w:t>
      </w:r>
      <w:r w:rsidRPr="00AD70CC">
        <w:rPr>
          <w:rFonts w:ascii="仿宋_GB2312" w:eastAsia="仿宋_GB2312" w:hAnsi="宋体" w:hint="eastAsia"/>
          <w:sz w:val="32"/>
          <w:szCs w:val="32"/>
        </w:rPr>
        <w:t>万元</w:t>
      </w:r>
      <w:r>
        <w:rPr>
          <w:rFonts w:ascii="仿宋_GB2312" w:eastAsia="仿宋_GB2312" w:hAnsi="宋体" w:hint="eastAsia"/>
          <w:sz w:val="32"/>
          <w:szCs w:val="32"/>
        </w:rPr>
        <w:t>，</w:t>
      </w:r>
      <w:r w:rsidRPr="00AD70CC">
        <w:rPr>
          <w:rFonts w:ascii="仿宋_GB2312" w:eastAsia="仿宋_GB2312" w:hAnsi="宋体" w:hint="eastAsia"/>
          <w:sz w:val="32"/>
          <w:szCs w:val="32"/>
        </w:rPr>
        <w:t>在学校图纸</w:t>
      </w:r>
      <w:r>
        <w:rPr>
          <w:rFonts w:ascii="仿宋_GB2312" w:eastAsia="仿宋_GB2312" w:hAnsi="宋体" w:hint="eastAsia"/>
          <w:sz w:val="32"/>
          <w:szCs w:val="32"/>
        </w:rPr>
        <w:t>、财审预算移交</w:t>
      </w:r>
      <w:r w:rsidRPr="00AD70CC">
        <w:rPr>
          <w:rFonts w:ascii="仿宋_GB2312" w:eastAsia="仿宋_GB2312" w:hAnsi="宋体" w:hint="eastAsia"/>
          <w:sz w:val="32"/>
          <w:szCs w:val="32"/>
        </w:rPr>
        <w:t>之时缴纳</w:t>
      </w:r>
      <w:r>
        <w:rPr>
          <w:rFonts w:ascii="仿宋_GB2312" w:eastAsia="仿宋_GB2312" w:hAnsi="宋体" w:hint="eastAsia"/>
          <w:sz w:val="32"/>
          <w:szCs w:val="32"/>
        </w:rPr>
        <w:t>；</w:t>
      </w:r>
    </w:p>
    <w:p w14:paraId="358C3C18" w14:textId="47046872" w:rsidR="008D7DA1" w:rsidRDefault="008D7DA1"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2</w:t>
      </w:r>
      <w:r w:rsidR="00B1580D">
        <w:rPr>
          <w:rFonts w:ascii="仿宋_GB2312" w:eastAsia="仿宋_GB2312" w:hAnsi="宋体" w:hint="eastAsia"/>
          <w:sz w:val="32"/>
          <w:szCs w:val="32"/>
        </w:rPr>
        <w:t>、</w:t>
      </w:r>
      <w:r>
        <w:rPr>
          <w:rFonts w:ascii="仿宋_GB2312" w:eastAsia="仿宋_GB2312" w:hAnsi="宋体" w:hint="eastAsia"/>
          <w:sz w:val="32"/>
          <w:szCs w:val="32"/>
        </w:rPr>
        <w:t>履约保证金由</w:t>
      </w:r>
      <w:r w:rsidR="00B1580D">
        <w:rPr>
          <w:rFonts w:ascii="仿宋_GB2312" w:eastAsia="仿宋_GB2312" w:hAnsi="宋体" w:hint="eastAsia"/>
          <w:sz w:val="32"/>
          <w:szCs w:val="32"/>
        </w:rPr>
        <w:t>平江县城市建设投资服务中心</w:t>
      </w:r>
      <w:r>
        <w:rPr>
          <w:rFonts w:ascii="仿宋_GB2312" w:eastAsia="仿宋_GB2312" w:hAnsi="宋体" w:hint="eastAsia"/>
          <w:sz w:val="32"/>
          <w:szCs w:val="32"/>
        </w:rPr>
        <w:t>与片区开发</w:t>
      </w:r>
      <w:r w:rsidR="001612CC">
        <w:rPr>
          <w:rFonts w:ascii="仿宋_GB2312" w:eastAsia="仿宋_GB2312" w:hAnsi="宋体" w:hint="eastAsia"/>
          <w:sz w:val="32"/>
          <w:szCs w:val="32"/>
        </w:rPr>
        <w:t>经营权</w:t>
      </w:r>
      <w:r w:rsidR="00305A1C">
        <w:rPr>
          <w:rFonts w:ascii="仿宋_GB2312" w:eastAsia="仿宋_GB2312" w:hAnsi="宋体" w:hint="eastAsia"/>
          <w:sz w:val="32"/>
          <w:szCs w:val="32"/>
        </w:rPr>
        <w:t>买受人</w:t>
      </w:r>
      <w:r>
        <w:rPr>
          <w:rFonts w:ascii="仿宋_GB2312" w:eastAsia="仿宋_GB2312" w:hAnsi="宋体" w:hint="eastAsia"/>
          <w:sz w:val="32"/>
          <w:szCs w:val="32"/>
        </w:rPr>
        <w:t>实行账户双控管理，不计利息；</w:t>
      </w:r>
    </w:p>
    <w:p w14:paraId="5FEA25AE" w14:textId="5AB1C7FB" w:rsidR="008D7DA1" w:rsidRDefault="008D7DA1"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3</w:t>
      </w:r>
      <w:r w:rsidR="00B1580D">
        <w:rPr>
          <w:rFonts w:ascii="仿宋_GB2312" w:eastAsia="仿宋_GB2312" w:hAnsi="宋体" w:hint="eastAsia"/>
          <w:sz w:val="32"/>
          <w:szCs w:val="32"/>
        </w:rPr>
        <w:t>、</w:t>
      </w:r>
      <w:r>
        <w:rPr>
          <w:rFonts w:ascii="仿宋_GB2312" w:eastAsia="仿宋_GB2312" w:hAnsi="宋体" w:hint="eastAsia"/>
          <w:sz w:val="32"/>
          <w:szCs w:val="32"/>
        </w:rPr>
        <w:t>履约保证金按项目建设进度比例分期返还。其中学校、道路进场施工时返还保证金2000万元，剩余款项按学校、道路建设整体进度比例分期返还</w:t>
      </w:r>
      <w:r w:rsidRPr="00E87C7F">
        <w:rPr>
          <w:rFonts w:ascii="仿宋_GB2312" w:eastAsia="仿宋_GB2312" w:hAnsi="宋体" w:hint="eastAsia"/>
          <w:sz w:val="32"/>
          <w:szCs w:val="32"/>
        </w:rPr>
        <w:t>。</w:t>
      </w:r>
      <w:r w:rsidR="00B1580D">
        <w:rPr>
          <w:rFonts w:ascii="仿宋_GB2312" w:eastAsia="仿宋_GB2312" w:hAnsi="宋体" w:hint="eastAsia"/>
          <w:sz w:val="32"/>
          <w:szCs w:val="32"/>
        </w:rPr>
        <w:t>全部基础设施</w:t>
      </w:r>
      <w:r>
        <w:rPr>
          <w:rFonts w:ascii="仿宋_GB2312" w:eastAsia="仿宋_GB2312" w:hAnsi="宋体" w:hint="eastAsia"/>
          <w:sz w:val="32"/>
          <w:szCs w:val="32"/>
        </w:rPr>
        <w:t>项目竣工验收合格达到交付条件时，履约保证金返还至保证金总额的</w:t>
      </w:r>
      <w:r>
        <w:rPr>
          <w:rFonts w:ascii="仿宋_GB2312" w:eastAsia="仿宋_GB2312" w:hAnsi="宋体"/>
          <w:sz w:val="32"/>
          <w:szCs w:val="32"/>
        </w:rPr>
        <w:t>80%</w:t>
      </w:r>
      <w:r w:rsidR="009617CE">
        <w:rPr>
          <w:rFonts w:ascii="仿宋_GB2312" w:eastAsia="仿宋_GB2312" w:hAnsi="宋体" w:hint="eastAsia"/>
          <w:sz w:val="32"/>
          <w:szCs w:val="32"/>
        </w:rPr>
        <w:t>。</w:t>
      </w:r>
      <w:r>
        <w:rPr>
          <w:rFonts w:ascii="仿宋_GB2312" w:eastAsia="仿宋_GB2312" w:hAnsi="宋体" w:hint="eastAsia"/>
          <w:sz w:val="32"/>
          <w:szCs w:val="32"/>
        </w:rPr>
        <w:t>余下</w:t>
      </w:r>
      <w:r>
        <w:rPr>
          <w:rFonts w:ascii="仿宋_GB2312" w:eastAsia="仿宋_GB2312" w:hAnsi="宋体"/>
          <w:sz w:val="32"/>
          <w:szCs w:val="32"/>
        </w:rPr>
        <w:t>20%</w:t>
      </w:r>
      <w:r w:rsidR="009617CE">
        <w:rPr>
          <w:rFonts w:ascii="仿宋_GB2312" w:eastAsia="仿宋_GB2312" w:hAnsi="宋体" w:hint="eastAsia"/>
          <w:sz w:val="32"/>
          <w:szCs w:val="32"/>
        </w:rPr>
        <w:t>的履约保证金</w:t>
      </w:r>
      <w:r>
        <w:rPr>
          <w:rFonts w:ascii="仿宋_GB2312" w:eastAsia="仿宋_GB2312" w:hAnsi="宋体" w:hint="eastAsia"/>
          <w:sz w:val="32"/>
          <w:szCs w:val="32"/>
        </w:rPr>
        <w:t>在项目结算审核完成后，</w:t>
      </w:r>
      <w:r w:rsidR="00F1263D">
        <w:rPr>
          <w:rFonts w:ascii="仿宋_GB2312" w:eastAsia="仿宋_GB2312" w:hAnsi="宋体" w:hint="eastAsia"/>
          <w:sz w:val="32"/>
          <w:szCs w:val="32"/>
        </w:rPr>
        <w:t>项目结算资金</w:t>
      </w:r>
      <w:r>
        <w:rPr>
          <w:rFonts w:ascii="仿宋_GB2312" w:eastAsia="仿宋_GB2312" w:hAnsi="宋体" w:hint="eastAsia"/>
          <w:sz w:val="32"/>
          <w:szCs w:val="32"/>
        </w:rPr>
        <w:t>扣除项目工程结算</w:t>
      </w:r>
      <w:r w:rsidR="00BF20BA">
        <w:rPr>
          <w:rFonts w:ascii="仿宋_GB2312" w:eastAsia="仿宋_GB2312" w:hAnsi="宋体" w:hint="eastAsia"/>
          <w:sz w:val="32"/>
          <w:szCs w:val="32"/>
        </w:rPr>
        <w:t>总</w:t>
      </w:r>
      <w:r>
        <w:rPr>
          <w:rFonts w:ascii="仿宋_GB2312" w:eastAsia="仿宋_GB2312" w:hAnsi="宋体" w:hint="eastAsia"/>
          <w:sz w:val="32"/>
          <w:szCs w:val="32"/>
        </w:rPr>
        <w:t>造价的</w:t>
      </w:r>
      <w:r>
        <w:rPr>
          <w:rFonts w:ascii="仿宋_GB2312" w:eastAsia="仿宋_GB2312" w:hAnsi="宋体"/>
          <w:sz w:val="32"/>
          <w:szCs w:val="32"/>
        </w:rPr>
        <w:t>3%</w:t>
      </w:r>
      <w:r>
        <w:rPr>
          <w:rFonts w:ascii="仿宋_GB2312" w:eastAsia="仿宋_GB2312" w:hAnsi="宋体" w:hint="eastAsia"/>
          <w:sz w:val="32"/>
          <w:szCs w:val="32"/>
        </w:rPr>
        <w:t>作</w:t>
      </w:r>
      <w:r w:rsidR="00F1263D">
        <w:rPr>
          <w:rFonts w:ascii="仿宋_GB2312" w:eastAsia="仿宋_GB2312" w:hAnsi="宋体" w:hint="eastAsia"/>
          <w:sz w:val="32"/>
          <w:szCs w:val="32"/>
        </w:rPr>
        <w:t>作</w:t>
      </w:r>
      <w:r>
        <w:rPr>
          <w:rFonts w:ascii="仿宋_GB2312" w:eastAsia="仿宋_GB2312" w:hAnsi="宋体" w:hint="eastAsia"/>
          <w:sz w:val="32"/>
          <w:szCs w:val="32"/>
        </w:rPr>
        <w:t>为质保金</w:t>
      </w:r>
      <w:r w:rsidR="00F1263D">
        <w:rPr>
          <w:rFonts w:ascii="仿宋_GB2312" w:eastAsia="仿宋_GB2312" w:hAnsi="宋体" w:hint="eastAsia"/>
          <w:sz w:val="32"/>
          <w:szCs w:val="32"/>
        </w:rPr>
        <w:t>的前提下</w:t>
      </w:r>
      <w:r>
        <w:rPr>
          <w:rFonts w:ascii="仿宋_GB2312" w:eastAsia="仿宋_GB2312" w:hAnsi="宋体" w:hint="eastAsia"/>
          <w:sz w:val="32"/>
          <w:szCs w:val="32"/>
        </w:rPr>
        <w:t>，全额返还。</w:t>
      </w:r>
    </w:p>
    <w:p w14:paraId="1DBE1594" w14:textId="7B786868" w:rsidR="00156FCE" w:rsidRDefault="008D7DA1"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4</w:t>
      </w:r>
      <w:r w:rsidR="00B1580D">
        <w:rPr>
          <w:rFonts w:ascii="仿宋_GB2312" w:eastAsia="仿宋_GB2312" w:hAnsi="宋体" w:hint="eastAsia"/>
          <w:sz w:val="32"/>
          <w:szCs w:val="32"/>
        </w:rPr>
        <w:t>、</w:t>
      </w:r>
      <w:r w:rsidR="00156FCE" w:rsidRPr="00156FCE">
        <w:rPr>
          <w:rFonts w:ascii="仿宋_GB2312" w:eastAsia="仿宋_GB2312" w:hAnsi="宋体" w:hint="eastAsia"/>
          <w:sz w:val="32"/>
          <w:szCs w:val="32"/>
        </w:rPr>
        <w:t>拍卖成交后，</w:t>
      </w:r>
      <w:r w:rsidR="002B0134">
        <w:rPr>
          <w:rFonts w:ascii="仿宋_GB2312" w:eastAsia="仿宋_GB2312" w:hAnsi="宋体" w:hint="eastAsia"/>
          <w:sz w:val="32"/>
          <w:szCs w:val="32"/>
        </w:rPr>
        <w:t>片区开发经营权</w:t>
      </w:r>
      <w:r w:rsidR="00156FCE" w:rsidRPr="00156FCE">
        <w:rPr>
          <w:rFonts w:ascii="仿宋_GB2312" w:eastAsia="仿宋_GB2312" w:hAnsi="宋体" w:hint="eastAsia"/>
          <w:sz w:val="32"/>
          <w:szCs w:val="32"/>
        </w:rPr>
        <w:t>买受人须于十个工作日内与平江县城市建设投资服务中心签订《履约监管协议》，并严格按照《履约监管协议》履行义务。拒不签订《履约监管协议》的，视为买受人放弃成交，所交履约保证金扣除30%后返</w:t>
      </w:r>
      <w:r w:rsidR="002B0134">
        <w:rPr>
          <w:rFonts w:ascii="仿宋_GB2312" w:eastAsia="仿宋_GB2312" w:hAnsi="宋体" w:hint="eastAsia"/>
          <w:sz w:val="32"/>
          <w:szCs w:val="32"/>
        </w:rPr>
        <w:t>给</w:t>
      </w:r>
      <w:r w:rsidR="00156FCE" w:rsidRPr="00156FCE">
        <w:rPr>
          <w:rFonts w:ascii="仿宋_GB2312" w:eastAsia="仿宋_GB2312" w:hAnsi="宋体" w:hint="eastAsia"/>
          <w:sz w:val="32"/>
          <w:szCs w:val="32"/>
        </w:rPr>
        <w:t>还</w:t>
      </w:r>
      <w:r w:rsidR="00156FCE">
        <w:rPr>
          <w:rFonts w:ascii="仿宋_GB2312" w:eastAsia="仿宋_GB2312" w:hAnsi="宋体" w:hint="eastAsia"/>
          <w:sz w:val="32"/>
          <w:szCs w:val="32"/>
        </w:rPr>
        <w:t>竞买人。</w:t>
      </w:r>
    </w:p>
    <w:p w14:paraId="34B4708F" w14:textId="54B16522" w:rsidR="008D7DA1" w:rsidRDefault="00BE6873"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sidR="000705F6" w:rsidRPr="000705F6">
        <w:rPr>
          <w:rFonts w:ascii="仿宋_GB2312" w:eastAsia="仿宋_GB2312" w:hAnsi="宋体" w:hint="eastAsia"/>
          <w:sz w:val="32"/>
          <w:szCs w:val="32"/>
        </w:rPr>
        <w:t>片区开发经营权买受人</w:t>
      </w:r>
      <w:r w:rsidR="008D7DA1">
        <w:rPr>
          <w:rFonts w:ascii="仿宋_GB2312" w:eastAsia="仿宋_GB2312" w:hAnsi="宋体" w:hint="eastAsia"/>
          <w:sz w:val="32"/>
          <w:szCs w:val="32"/>
        </w:rPr>
        <w:t>未按期</w:t>
      </w:r>
      <w:r w:rsidR="00B1580D">
        <w:rPr>
          <w:rFonts w:ascii="仿宋_GB2312" w:eastAsia="仿宋_GB2312" w:hAnsi="宋体" w:hint="eastAsia"/>
          <w:sz w:val="32"/>
          <w:szCs w:val="32"/>
        </w:rPr>
        <w:t>按质</w:t>
      </w:r>
      <w:r w:rsidR="008D7DA1">
        <w:rPr>
          <w:rFonts w:ascii="仿宋_GB2312" w:eastAsia="仿宋_GB2312" w:hAnsi="宋体" w:hint="eastAsia"/>
          <w:sz w:val="32"/>
          <w:szCs w:val="32"/>
        </w:rPr>
        <w:t>完成项目建设任务、未</w:t>
      </w:r>
      <w:r w:rsidR="00282653">
        <w:rPr>
          <w:rFonts w:ascii="仿宋_GB2312" w:eastAsia="仿宋_GB2312" w:hAnsi="宋体" w:hint="eastAsia"/>
          <w:sz w:val="32"/>
          <w:szCs w:val="32"/>
        </w:rPr>
        <w:t>上述按规定参加</w:t>
      </w:r>
      <w:r w:rsidR="00B1580D">
        <w:rPr>
          <w:rFonts w:ascii="仿宋_GB2312" w:eastAsia="仿宋_GB2312" w:hAnsi="宋体" w:hint="eastAsia"/>
          <w:sz w:val="32"/>
          <w:szCs w:val="32"/>
        </w:rPr>
        <w:t>片区</w:t>
      </w:r>
      <w:r w:rsidR="00282653">
        <w:rPr>
          <w:rFonts w:ascii="仿宋_GB2312" w:eastAsia="仿宋_GB2312" w:hAnsi="宋体" w:hint="eastAsia"/>
          <w:sz w:val="32"/>
          <w:szCs w:val="32"/>
        </w:rPr>
        <w:t>商业、居住</w:t>
      </w:r>
      <w:r w:rsidR="00B1580D">
        <w:rPr>
          <w:rFonts w:ascii="仿宋_GB2312" w:eastAsia="仿宋_GB2312" w:hAnsi="宋体" w:hint="eastAsia"/>
          <w:sz w:val="32"/>
          <w:szCs w:val="32"/>
        </w:rPr>
        <w:t>用地</w:t>
      </w:r>
      <w:r w:rsidR="00282653">
        <w:rPr>
          <w:rFonts w:ascii="仿宋_GB2312" w:eastAsia="仿宋_GB2312" w:hAnsi="宋体" w:hint="eastAsia"/>
          <w:sz w:val="32"/>
          <w:szCs w:val="32"/>
        </w:rPr>
        <w:t>土地出让的</w:t>
      </w:r>
      <w:r w:rsidR="008D7DA1">
        <w:rPr>
          <w:rFonts w:ascii="仿宋_GB2312" w:eastAsia="仿宋_GB2312" w:hAnsi="宋体" w:hint="eastAsia"/>
          <w:sz w:val="32"/>
          <w:szCs w:val="32"/>
        </w:rPr>
        <w:t>，政府将以违约金、终止片区开发经营权等方式进行处理，并追缴由此导致的一切经济损失，具体约束条件在</w:t>
      </w:r>
      <w:r w:rsidR="000705F6">
        <w:rPr>
          <w:rFonts w:ascii="仿宋_GB2312" w:eastAsia="仿宋_GB2312" w:hAnsi="宋体" w:hint="eastAsia"/>
          <w:sz w:val="32"/>
          <w:szCs w:val="32"/>
        </w:rPr>
        <w:t>《履约监管</w:t>
      </w:r>
      <w:r w:rsidR="008D7DA1">
        <w:rPr>
          <w:rFonts w:ascii="仿宋_GB2312" w:eastAsia="仿宋_GB2312" w:hAnsi="宋体" w:hint="eastAsia"/>
          <w:sz w:val="32"/>
          <w:szCs w:val="32"/>
        </w:rPr>
        <w:t>协议</w:t>
      </w:r>
      <w:r w:rsidR="000705F6">
        <w:rPr>
          <w:rFonts w:ascii="仿宋_GB2312" w:eastAsia="仿宋_GB2312" w:hAnsi="宋体" w:hint="eastAsia"/>
          <w:sz w:val="32"/>
          <w:szCs w:val="32"/>
        </w:rPr>
        <w:t>》</w:t>
      </w:r>
      <w:r w:rsidR="008D7DA1">
        <w:rPr>
          <w:rFonts w:ascii="仿宋_GB2312" w:eastAsia="仿宋_GB2312" w:hAnsi="宋体" w:hint="eastAsia"/>
          <w:sz w:val="32"/>
          <w:szCs w:val="32"/>
        </w:rPr>
        <w:t>中细化明确。</w:t>
      </w:r>
    </w:p>
    <w:p w14:paraId="751BE8E5" w14:textId="02A0765D" w:rsidR="001430A3" w:rsidRPr="00B9198E" w:rsidRDefault="00B9198E" w:rsidP="00BE6873">
      <w:pPr>
        <w:widowControl w:val="0"/>
        <w:spacing w:line="640" w:lineRule="exact"/>
        <w:ind w:firstLineChars="200" w:firstLine="643"/>
        <w:textAlignment w:val="auto"/>
        <w:rPr>
          <w:rFonts w:ascii="楷体_GB2312" w:eastAsia="楷体_GB2312" w:hAnsi="黑体"/>
          <w:b/>
          <w:bCs/>
          <w:sz w:val="32"/>
          <w:szCs w:val="32"/>
        </w:rPr>
      </w:pPr>
      <w:r w:rsidRPr="00B9198E">
        <w:rPr>
          <w:rFonts w:ascii="楷体_GB2312" w:eastAsia="楷体_GB2312" w:hAnsi="黑体" w:hint="eastAsia"/>
          <w:b/>
          <w:bCs/>
          <w:sz w:val="32"/>
          <w:szCs w:val="32"/>
        </w:rPr>
        <w:t>（五）其他规定</w:t>
      </w:r>
    </w:p>
    <w:p w14:paraId="4AC290ED" w14:textId="59358D9A" w:rsidR="001430A3" w:rsidRDefault="00B9198E"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1、</w:t>
      </w:r>
      <w:r w:rsidR="00B22C12">
        <w:rPr>
          <w:rFonts w:ascii="仿宋_GB2312" w:eastAsia="仿宋_GB2312" w:hAnsi="宋体" w:hint="eastAsia"/>
          <w:sz w:val="32"/>
          <w:szCs w:val="32"/>
        </w:rPr>
        <w:t>片区范围内有所有</w:t>
      </w:r>
      <w:r w:rsidR="00C7106E">
        <w:rPr>
          <w:rFonts w:ascii="仿宋_GB2312" w:eastAsia="仿宋_GB2312" w:hAnsi="宋体" w:hint="eastAsia"/>
          <w:sz w:val="32"/>
          <w:szCs w:val="32"/>
        </w:rPr>
        <w:t>基础设施</w:t>
      </w:r>
      <w:r w:rsidR="00B22C12">
        <w:rPr>
          <w:rFonts w:ascii="仿宋_GB2312" w:eastAsia="仿宋_GB2312" w:hAnsi="宋体" w:hint="eastAsia"/>
          <w:sz w:val="32"/>
          <w:szCs w:val="32"/>
        </w:rPr>
        <w:t>建设项目</w:t>
      </w:r>
      <w:r w:rsidR="00C7106E">
        <w:rPr>
          <w:rFonts w:ascii="仿宋_GB2312" w:eastAsia="仿宋_GB2312" w:hAnsi="宋体" w:hint="eastAsia"/>
          <w:sz w:val="32"/>
          <w:szCs w:val="32"/>
        </w:rPr>
        <w:t>、房地产开发项目</w:t>
      </w:r>
      <w:r w:rsidR="00B22C12">
        <w:rPr>
          <w:rFonts w:ascii="仿宋_GB2312" w:eastAsia="仿宋_GB2312" w:hAnsi="宋体" w:hint="eastAsia"/>
          <w:sz w:val="32"/>
          <w:szCs w:val="32"/>
        </w:rPr>
        <w:t>，</w:t>
      </w:r>
      <w:r w:rsidR="00B22C12">
        <w:rPr>
          <w:rFonts w:ascii="仿宋_GB2312" w:eastAsia="仿宋_GB2312" w:hAnsi="宋体" w:hint="eastAsia"/>
          <w:sz w:val="32"/>
          <w:szCs w:val="32"/>
        </w:rPr>
        <w:lastRenderedPageBreak/>
        <w:t>所产生的相关税费必须在平江县本地缴纳。</w:t>
      </w:r>
    </w:p>
    <w:p w14:paraId="3199F611" w14:textId="2ED6B7AE" w:rsidR="00E21823" w:rsidRDefault="00B9198E"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2、</w:t>
      </w:r>
      <w:r w:rsidR="00B22C12">
        <w:rPr>
          <w:rFonts w:ascii="仿宋_GB2312" w:eastAsia="仿宋_GB2312" w:hAnsi="宋体" w:hint="eastAsia"/>
          <w:sz w:val="32"/>
          <w:szCs w:val="32"/>
        </w:rPr>
        <w:t>学校、道路项目用地无偿划拨至</w:t>
      </w:r>
      <w:bookmarkStart w:id="0" w:name="_Hlk111040337"/>
      <w:r w:rsidR="00B22C12">
        <w:rPr>
          <w:rFonts w:ascii="仿宋_GB2312" w:eastAsia="仿宋_GB2312" w:hAnsi="宋体" w:hint="eastAsia"/>
          <w:sz w:val="32"/>
          <w:szCs w:val="32"/>
        </w:rPr>
        <w:t>片区开发</w:t>
      </w:r>
      <w:r>
        <w:rPr>
          <w:rFonts w:ascii="仿宋_GB2312" w:eastAsia="仿宋_GB2312" w:hAnsi="宋体" w:hint="eastAsia"/>
          <w:sz w:val="32"/>
          <w:szCs w:val="32"/>
        </w:rPr>
        <w:t>经营权</w:t>
      </w:r>
      <w:r w:rsidR="00305A1C">
        <w:rPr>
          <w:rFonts w:ascii="仿宋_GB2312" w:eastAsia="仿宋_GB2312" w:hAnsi="宋体" w:hint="eastAsia"/>
          <w:sz w:val="32"/>
          <w:szCs w:val="32"/>
        </w:rPr>
        <w:t>买受人</w:t>
      </w:r>
      <w:bookmarkEnd w:id="0"/>
      <w:r w:rsidR="00B22C12">
        <w:rPr>
          <w:rFonts w:ascii="仿宋_GB2312" w:eastAsia="仿宋_GB2312" w:hAnsi="宋体" w:hint="eastAsia"/>
          <w:sz w:val="32"/>
          <w:szCs w:val="32"/>
        </w:rPr>
        <w:t>名下</w:t>
      </w:r>
      <w:r w:rsidR="00E21823">
        <w:rPr>
          <w:rFonts w:ascii="仿宋_GB2312" w:eastAsia="仿宋_GB2312" w:hAnsi="宋体" w:hint="eastAsia"/>
          <w:sz w:val="32"/>
          <w:szCs w:val="32"/>
        </w:rPr>
        <w:t>。</w:t>
      </w:r>
      <w:r w:rsidR="008C5519" w:rsidRPr="008C5519">
        <w:rPr>
          <w:rFonts w:ascii="仿宋_GB2312" w:eastAsia="仿宋_GB2312" w:hAnsi="宋体" w:hint="eastAsia"/>
          <w:sz w:val="32"/>
          <w:szCs w:val="32"/>
        </w:rPr>
        <w:t>片区开发经营权</w:t>
      </w:r>
      <w:r w:rsidR="00305A1C">
        <w:rPr>
          <w:rFonts w:ascii="仿宋_GB2312" w:eastAsia="仿宋_GB2312" w:hAnsi="宋体" w:hint="eastAsia"/>
          <w:sz w:val="32"/>
          <w:szCs w:val="32"/>
        </w:rPr>
        <w:t>买受人</w:t>
      </w:r>
      <w:r w:rsidR="00781265">
        <w:rPr>
          <w:rFonts w:ascii="仿宋_GB2312" w:eastAsia="仿宋_GB2312" w:hAnsi="宋体" w:hint="eastAsia"/>
          <w:sz w:val="32"/>
          <w:szCs w:val="32"/>
        </w:rPr>
        <w:t>不得将</w:t>
      </w:r>
      <w:r w:rsidR="00B22C12">
        <w:rPr>
          <w:rFonts w:ascii="仿宋_GB2312" w:eastAsia="仿宋_GB2312" w:hAnsi="宋体" w:hint="eastAsia"/>
          <w:sz w:val="32"/>
          <w:szCs w:val="32"/>
        </w:rPr>
        <w:t>学校、道路用地用于</w:t>
      </w:r>
      <w:r w:rsidR="00781265">
        <w:rPr>
          <w:rFonts w:ascii="仿宋_GB2312" w:eastAsia="仿宋_GB2312" w:hAnsi="宋体" w:hint="eastAsia"/>
          <w:sz w:val="32"/>
          <w:szCs w:val="32"/>
        </w:rPr>
        <w:t>任何形式的</w:t>
      </w:r>
      <w:r w:rsidR="00B22C12">
        <w:rPr>
          <w:rFonts w:ascii="仿宋_GB2312" w:eastAsia="仿宋_GB2312" w:hAnsi="宋体" w:hint="eastAsia"/>
          <w:sz w:val="32"/>
          <w:szCs w:val="32"/>
        </w:rPr>
        <w:t>抵押、出租或转让，在学校、道路项目建设完成后无偿</w:t>
      </w:r>
      <w:r w:rsidR="00B11574">
        <w:rPr>
          <w:rFonts w:ascii="仿宋_GB2312" w:eastAsia="仿宋_GB2312" w:hAnsi="宋体" w:hint="eastAsia"/>
          <w:sz w:val="32"/>
          <w:szCs w:val="32"/>
        </w:rPr>
        <w:t>划转至</w:t>
      </w:r>
      <w:r w:rsidR="00B22C12">
        <w:rPr>
          <w:rFonts w:ascii="仿宋_GB2312" w:eastAsia="仿宋_GB2312" w:hAnsi="宋体" w:hint="eastAsia"/>
          <w:sz w:val="32"/>
          <w:szCs w:val="32"/>
        </w:rPr>
        <w:t>政府相关部门。</w:t>
      </w:r>
    </w:p>
    <w:p w14:paraId="1A1E211C" w14:textId="545CF5FA" w:rsidR="00E21823" w:rsidRDefault="00B9198E"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3、</w:t>
      </w:r>
      <w:r w:rsidR="008C5519" w:rsidRPr="008C5519">
        <w:rPr>
          <w:rFonts w:ascii="仿宋_GB2312" w:eastAsia="仿宋_GB2312" w:hAnsi="宋体" w:hint="eastAsia"/>
          <w:sz w:val="32"/>
          <w:szCs w:val="32"/>
        </w:rPr>
        <w:t>片区开发经营权</w:t>
      </w:r>
      <w:r w:rsidR="00305A1C">
        <w:rPr>
          <w:rFonts w:ascii="仿宋_GB2312" w:eastAsia="仿宋_GB2312" w:hAnsi="宋体" w:hint="eastAsia"/>
          <w:sz w:val="32"/>
          <w:szCs w:val="32"/>
        </w:rPr>
        <w:t>买受人</w:t>
      </w:r>
      <w:r w:rsidR="00E21823" w:rsidRPr="00E21823">
        <w:rPr>
          <w:rFonts w:ascii="仿宋_GB2312" w:eastAsia="仿宋_GB2312" w:hAnsi="宋体" w:hint="eastAsia"/>
          <w:sz w:val="32"/>
          <w:szCs w:val="32"/>
        </w:rPr>
        <w:t>承担</w:t>
      </w:r>
      <w:r w:rsidR="00E21823">
        <w:rPr>
          <w:rFonts w:ascii="仿宋_GB2312" w:eastAsia="仿宋_GB2312" w:hAnsi="宋体" w:hint="eastAsia"/>
          <w:sz w:val="32"/>
          <w:szCs w:val="32"/>
        </w:rPr>
        <w:t>片区基础设施项目</w:t>
      </w:r>
      <w:r w:rsidR="00BB228C">
        <w:rPr>
          <w:rFonts w:ascii="仿宋_GB2312" w:eastAsia="仿宋_GB2312" w:hAnsi="宋体" w:hint="eastAsia"/>
          <w:sz w:val="32"/>
          <w:szCs w:val="32"/>
        </w:rPr>
        <w:t>投资</w:t>
      </w:r>
      <w:r w:rsidR="00E21823" w:rsidRPr="00E21823">
        <w:rPr>
          <w:rFonts w:ascii="仿宋_GB2312" w:eastAsia="仿宋_GB2312" w:hAnsi="宋体" w:hint="eastAsia"/>
          <w:sz w:val="32"/>
          <w:szCs w:val="32"/>
        </w:rPr>
        <w:t>业主职责，</w:t>
      </w:r>
      <w:r w:rsidR="00E21823">
        <w:rPr>
          <w:rFonts w:ascii="仿宋_GB2312" w:eastAsia="仿宋_GB2312" w:hAnsi="宋体" w:hint="eastAsia"/>
          <w:sz w:val="32"/>
          <w:szCs w:val="32"/>
        </w:rPr>
        <w:t>负责办理</w:t>
      </w:r>
      <w:r w:rsidR="00E21823" w:rsidRPr="00E21823">
        <w:rPr>
          <w:rFonts w:ascii="仿宋_GB2312" w:eastAsia="仿宋_GB2312" w:hAnsi="宋体" w:hint="eastAsia"/>
          <w:sz w:val="32"/>
          <w:szCs w:val="32"/>
        </w:rPr>
        <w:t>相关</w:t>
      </w:r>
      <w:r w:rsidR="008C5519">
        <w:rPr>
          <w:rFonts w:ascii="仿宋_GB2312" w:eastAsia="仿宋_GB2312" w:hAnsi="宋体" w:hint="eastAsia"/>
          <w:sz w:val="32"/>
          <w:szCs w:val="32"/>
        </w:rPr>
        <w:t>项目</w:t>
      </w:r>
      <w:r w:rsidR="00E21823" w:rsidRPr="00E21823">
        <w:rPr>
          <w:rFonts w:ascii="仿宋_GB2312" w:eastAsia="仿宋_GB2312" w:hAnsi="宋体" w:hint="eastAsia"/>
          <w:sz w:val="32"/>
          <w:szCs w:val="32"/>
        </w:rPr>
        <w:t>立项、报建等前期手续，按发改部门要求组织工程发包</w:t>
      </w:r>
      <w:r w:rsidR="00E21823">
        <w:rPr>
          <w:rFonts w:ascii="仿宋_GB2312" w:eastAsia="仿宋_GB2312" w:hAnsi="宋体" w:hint="eastAsia"/>
          <w:sz w:val="32"/>
          <w:szCs w:val="32"/>
        </w:rPr>
        <w:t>，负责聘请监理及必要的第三方检测单位，</w:t>
      </w:r>
      <w:r w:rsidR="00E21823" w:rsidRPr="00E21823">
        <w:rPr>
          <w:rFonts w:ascii="仿宋_GB2312" w:eastAsia="仿宋_GB2312" w:hAnsi="宋体" w:hint="eastAsia"/>
          <w:sz w:val="32"/>
          <w:szCs w:val="32"/>
        </w:rPr>
        <w:t>并</w:t>
      </w:r>
      <w:r w:rsidR="00E21823">
        <w:rPr>
          <w:rFonts w:ascii="仿宋_GB2312" w:eastAsia="仿宋_GB2312" w:hAnsi="宋体" w:hint="eastAsia"/>
          <w:sz w:val="32"/>
          <w:szCs w:val="32"/>
        </w:rPr>
        <w:t>组织</w:t>
      </w:r>
      <w:r w:rsidR="00E21823" w:rsidRPr="00E21823">
        <w:rPr>
          <w:rFonts w:ascii="仿宋_GB2312" w:eastAsia="仿宋_GB2312" w:hAnsi="宋体" w:hint="eastAsia"/>
          <w:sz w:val="32"/>
          <w:szCs w:val="32"/>
        </w:rPr>
        <w:t>实施</w:t>
      </w:r>
      <w:r w:rsidR="008C5519">
        <w:rPr>
          <w:rFonts w:ascii="仿宋_GB2312" w:eastAsia="仿宋_GB2312" w:hAnsi="宋体" w:hint="eastAsia"/>
          <w:sz w:val="32"/>
          <w:szCs w:val="32"/>
        </w:rPr>
        <w:t>项目</w:t>
      </w:r>
      <w:r w:rsidR="00E21823" w:rsidRPr="00E21823">
        <w:rPr>
          <w:rFonts w:ascii="仿宋_GB2312" w:eastAsia="仿宋_GB2312" w:hAnsi="宋体" w:hint="eastAsia"/>
          <w:sz w:val="32"/>
          <w:szCs w:val="32"/>
        </w:rPr>
        <w:t>建设。</w:t>
      </w:r>
    </w:p>
    <w:p w14:paraId="13240094" w14:textId="7614590F" w:rsidR="00E21823" w:rsidRPr="00E21823" w:rsidRDefault="008C551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kern w:val="2"/>
          <w:sz w:val="32"/>
          <w:szCs w:val="32"/>
        </w:rPr>
        <w:t>4、</w:t>
      </w:r>
      <w:r w:rsidR="00E21823" w:rsidRPr="00E21823">
        <w:rPr>
          <w:rFonts w:ascii="仿宋_GB2312" w:eastAsia="仿宋_GB2312" w:hAnsi="宋体" w:hint="eastAsia"/>
          <w:kern w:val="2"/>
          <w:sz w:val="32"/>
          <w:szCs w:val="32"/>
        </w:rPr>
        <w:t>片区</w:t>
      </w:r>
      <w:r w:rsidR="000C10AA">
        <w:rPr>
          <w:rFonts w:ascii="仿宋_GB2312" w:eastAsia="仿宋_GB2312" w:hAnsi="宋体" w:hint="eastAsia"/>
          <w:kern w:val="2"/>
          <w:sz w:val="32"/>
          <w:szCs w:val="32"/>
        </w:rPr>
        <w:t>项目</w:t>
      </w:r>
      <w:r w:rsidR="00E21823">
        <w:rPr>
          <w:rFonts w:ascii="仿宋_GB2312" w:eastAsia="仿宋_GB2312" w:hAnsi="宋体" w:hint="eastAsia"/>
          <w:kern w:val="2"/>
          <w:sz w:val="32"/>
          <w:szCs w:val="32"/>
        </w:rPr>
        <w:t>建设</w:t>
      </w:r>
      <w:r w:rsidR="00E21823" w:rsidRPr="00E21823">
        <w:rPr>
          <w:rFonts w:ascii="仿宋_GB2312" w:eastAsia="仿宋_GB2312" w:hAnsi="宋体" w:hint="eastAsia"/>
          <w:kern w:val="2"/>
          <w:sz w:val="32"/>
          <w:szCs w:val="32"/>
        </w:rPr>
        <w:t>混凝土用料供应，允许</w:t>
      </w:r>
      <w:r w:rsidRPr="008C5519">
        <w:rPr>
          <w:rFonts w:ascii="仿宋_GB2312" w:eastAsia="仿宋_GB2312" w:hAnsi="宋体" w:hint="eastAsia"/>
          <w:kern w:val="2"/>
          <w:sz w:val="32"/>
          <w:szCs w:val="32"/>
        </w:rPr>
        <w:t>片区开发经营权</w:t>
      </w:r>
      <w:r w:rsidR="00305A1C">
        <w:rPr>
          <w:rFonts w:ascii="仿宋_GB2312" w:eastAsia="仿宋_GB2312" w:hAnsi="宋体" w:hint="eastAsia"/>
          <w:kern w:val="2"/>
          <w:sz w:val="32"/>
          <w:szCs w:val="32"/>
        </w:rPr>
        <w:t>买受人</w:t>
      </w:r>
      <w:r w:rsidR="00BB483D">
        <w:rPr>
          <w:rFonts w:ascii="仿宋_GB2312" w:eastAsia="仿宋_GB2312" w:hAnsi="宋体" w:hint="eastAsia"/>
          <w:kern w:val="2"/>
          <w:sz w:val="32"/>
          <w:szCs w:val="32"/>
        </w:rPr>
        <w:t>在片区用地范围内</w:t>
      </w:r>
      <w:r w:rsidR="00E21823" w:rsidRPr="00E21823">
        <w:rPr>
          <w:rFonts w:ascii="仿宋_GB2312" w:eastAsia="仿宋_GB2312" w:hAnsi="宋体" w:hint="eastAsia"/>
          <w:kern w:val="2"/>
          <w:sz w:val="32"/>
          <w:szCs w:val="32"/>
        </w:rPr>
        <w:t>建设自用临时混凝土搅拌站</w:t>
      </w:r>
      <w:r w:rsidR="000C10AA">
        <w:rPr>
          <w:rFonts w:ascii="仿宋_GB2312" w:eastAsia="仿宋_GB2312" w:hAnsi="宋体" w:hint="eastAsia"/>
          <w:kern w:val="2"/>
          <w:sz w:val="32"/>
          <w:szCs w:val="32"/>
        </w:rPr>
        <w:t>（仅限于</w:t>
      </w:r>
      <w:r w:rsidR="00586F91">
        <w:rPr>
          <w:rFonts w:ascii="仿宋_GB2312" w:eastAsia="仿宋_GB2312" w:hAnsi="宋体" w:hint="eastAsia"/>
          <w:kern w:val="2"/>
          <w:sz w:val="32"/>
          <w:szCs w:val="32"/>
        </w:rPr>
        <w:t>供应</w:t>
      </w:r>
      <w:r w:rsidRPr="008C5519">
        <w:rPr>
          <w:rFonts w:ascii="仿宋_GB2312" w:eastAsia="仿宋_GB2312" w:hAnsi="宋体" w:hint="eastAsia"/>
          <w:kern w:val="2"/>
          <w:sz w:val="32"/>
          <w:szCs w:val="32"/>
        </w:rPr>
        <w:t>片区开发经营权</w:t>
      </w:r>
      <w:r w:rsidR="00305A1C">
        <w:rPr>
          <w:rFonts w:ascii="仿宋_GB2312" w:eastAsia="仿宋_GB2312" w:hAnsi="宋体" w:hint="eastAsia"/>
          <w:kern w:val="2"/>
          <w:sz w:val="32"/>
          <w:szCs w:val="32"/>
        </w:rPr>
        <w:t>买受人</w:t>
      </w:r>
      <w:r w:rsidR="000C10AA">
        <w:rPr>
          <w:rFonts w:ascii="仿宋_GB2312" w:eastAsia="仿宋_GB2312" w:hAnsi="宋体" w:hint="eastAsia"/>
          <w:kern w:val="2"/>
          <w:sz w:val="32"/>
          <w:szCs w:val="32"/>
        </w:rPr>
        <w:t>投资的片区项目，不得对外销售</w:t>
      </w:r>
      <w:r w:rsidR="00BB483D">
        <w:rPr>
          <w:rFonts w:ascii="仿宋_GB2312" w:eastAsia="仿宋_GB2312" w:hAnsi="宋体" w:hint="eastAsia"/>
          <w:kern w:val="2"/>
          <w:sz w:val="32"/>
          <w:szCs w:val="32"/>
        </w:rPr>
        <w:t>，项目建设完成自行拆除，政府不予补偿</w:t>
      </w:r>
      <w:r w:rsidR="000C10AA">
        <w:rPr>
          <w:rFonts w:ascii="仿宋_GB2312" w:eastAsia="仿宋_GB2312" w:hAnsi="宋体" w:hint="eastAsia"/>
          <w:kern w:val="2"/>
          <w:sz w:val="32"/>
          <w:szCs w:val="32"/>
        </w:rPr>
        <w:t>）</w:t>
      </w:r>
      <w:r w:rsidR="00E21823" w:rsidRPr="00E21823">
        <w:rPr>
          <w:rFonts w:ascii="仿宋_GB2312" w:eastAsia="仿宋_GB2312" w:hAnsi="宋体" w:hint="eastAsia"/>
          <w:kern w:val="2"/>
          <w:sz w:val="32"/>
          <w:szCs w:val="32"/>
        </w:rPr>
        <w:t>，或采取与</w:t>
      </w:r>
      <w:r w:rsidR="00BB483D">
        <w:rPr>
          <w:rFonts w:ascii="仿宋_GB2312" w:eastAsia="仿宋_GB2312" w:hAnsi="宋体" w:hint="eastAsia"/>
          <w:kern w:val="2"/>
          <w:sz w:val="32"/>
          <w:szCs w:val="32"/>
        </w:rPr>
        <w:t>现有开发项目</w:t>
      </w:r>
      <w:r w:rsidR="00E21823" w:rsidRPr="00E21823">
        <w:rPr>
          <w:rFonts w:ascii="仿宋_GB2312" w:eastAsia="仿宋_GB2312" w:hAnsi="宋体" w:hint="eastAsia"/>
          <w:kern w:val="2"/>
          <w:sz w:val="32"/>
          <w:szCs w:val="32"/>
        </w:rPr>
        <w:t>临时混凝土搅拌站合营的方式</w:t>
      </w:r>
      <w:r w:rsidR="00E21823">
        <w:rPr>
          <w:rFonts w:ascii="仿宋_GB2312" w:eastAsia="仿宋_GB2312" w:hAnsi="宋体" w:hint="eastAsia"/>
          <w:kern w:val="2"/>
          <w:sz w:val="32"/>
          <w:szCs w:val="32"/>
        </w:rPr>
        <w:t>。具体方式</w:t>
      </w:r>
      <w:r w:rsidR="00E21823" w:rsidRPr="00E21823">
        <w:rPr>
          <w:rFonts w:ascii="仿宋_GB2312" w:eastAsia="仿宋_GB2312" w:hAnsi="宋体" w:hint="eastAsia"/>
          <w:kern w:val="2"/>
          <w:sz w:val="32"/>
          <w:szCs w:val="32"/>
        </w:rPr>
        <w:t>由</w:t>
      </w:r>
      <w:r w:rsidRPr="008C5519">
        <w:rPr>
          <w:rFonts w:ascii="仿宋_GB2312" w:eastAsia="仿宋_GB2312" w:hAnsi="宋体" w:hint="eastAsia"/>
          <w:kern w:val="2"/>
          <w:sz w:val="32"/>
          <w:szCs w:val="32"/>
        </w:rPr>
        <w:t>片区开发经营权</w:t>
      </w:r>
      <w:r w:rsidR="00305A1C">
        <w:rPr>
          <w:rFonts w:ascii="仿宋_GB2312" w:eastAsia="仿宋_GB2312" w:hAnsi="宋体" w:hint="eastAsia"/>
          <w:kern w:val="2"/>
          <w:sz w:val="32"/>
          <w:szCs w:val="32"/>
        </w:rPr>
        <w:t>买受人</w:t>
      </w:r>
      <w:r w:rsidR="00E21823" w:rsidRPr="00E21823">
        <w:rPr>
          <w:rFonts w:ascii="仿宋_GB2312" w:eastAsia="仿宋_GB2312" w:hAnsi="宋体" w:hint="eastAsia"/>
          <w:kern w:val="2"/>
          <w:sz w:val="32"/>
          <w:szCs w:val="32"/>
        </w:rPr>
        <w:t>自行选择，政府负责相关协调工作。</w:t>
      </w:r>
    </w:p>
    <w:p w14:paraId="35CD8BB9" w14:textId="0EE8089B" w:rsidR="00E21823" w:rsidRDefault="008C551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kern w:val="2"/>
          <w:sz w:val="32"/>
          <w:szCs w:val="32"/>
        </w:rPr>
        <w:t>5、</w:t>
      </w:r>
      <w:r w:rsidR="00E21823" w:rsidRPr="00E21823">
        <w:rPr>
          <w:rFonts w:ascii="仿宋_GB2312" w:eastAsia="仿宋_GB2312" w:hAnsi="宋体" w:hint="eastAsia"/>
          <w:kern w:val="2"/>
          <w:sz w:val="32"/>
          <w:szCs w:val="32"/>
        </w:rPr>
        <w:t>建设用地规划许可证、建设工程规划许可证、建筑工程施工许可证等项目建设证照在省政府工程项目建设改革平台规定时限内办理到位。</w:t>
      </w:r>
    </w:p>
    <w:p w14:paraId="7040EF2E" w14:textId="42C747E2" w:rsidR="00E21823" w:rsidRDefault="008C551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kern w:val="2"/>
          <w:sz w:val="32"/>
          <w:szCs w:val="32"/>
        </w:rPr>
        <w:t>6、</w:t>
      </w:r>
      <w:r w:rsidR="00E21823">
        <w:rPr>
          <w:rFonts w:ascii="仿宋_GB2312" w:eastAsia="仿宋_GB2312" w:hAnsi="宋体" w:hint="eastAsia"/>
          <w:kern w:val="2"/>
          <w:sz w:val="32"/>
          <w:szCs w:val="32"/>
        </w:rPr>
        <w:t>政府负责项目用水、用电</w:t>
      </w:r>
      <w:r w:rsidR="009D58B0">
        <w:rPr>
          <w:rFonts w:ascii="仿宋_GB2312" w:eastAsia="仿宋_GB2312" w:hAnsi="宋体" w:hint="eastAsia"/>
          <w:kern w:val="2"/>
          <w:sz w:val="32"/>
          <w:szCs w:val="32"/>
        </w:rPr>
        <w:t>接至片区</w:t>
      </w:r>
      <w:r w:rsidR="00BB228C">
        <w:rPr>
          <w:rFonts w:ascii="仿宋_GB2312" w:eastAsia="仿宋_GB2312" w:hAnsi="宋体" w:hint="eastAsia"/>
          <w:kern w:val="2"/>
          <w:sz w:val="32"/>
          <w:szCs w:val="32"/>
        </w:rPr>
        <w:t>用地</w:t>
      </w:r>
      <w:r w:rsidR="009D58B0">
        <w:rPr>
          <w:rFonts w:ascii="仿宋_GB2312" w:eastAsia="仿宋_GB2312" w:hAnsi="宋体" w:hint="eastAsia"/>
          <w:kern w:val="2"/>
          <w:sz w:val="32"/>
          <w:szCs w:val="32"/>
        </w:rPr>
        <w:t>红线边</w:t>
      </w:r>
      <w:r w:rsidR="00E4299C">
        <w:rPr>
          <w:rFonts w:ascii="仿宋_GB2312" w:eastAsia="仿宋_GB2312" w:hAnsi="宋体" w:hint="eastAsia"/>
          <w:kern w:val="2"/>
          <w:sz w:val="32"/>
          <w:szCs w:val="32"/>
        </w:rPr>
        <w:t>，并满足</w:t>
      </w:r>
      <w:r w:rsidR="00664A9B">
        <w:rPr>
          <w:rFonts w:ascii="仿宋_GB2312" w:eastAsia="仿宋_GB2312" w:hAnsi="宋体" w:hint="eastAsia"/>
          <w:kern w:val="2"/>
          <w:sz w:val="32"/>
          <w:szCs w:val="32"/>
        </w:rPr>
        <w:t>项目使用</w:t>
      </w:r>
      <w:r w:rsidR="00E4299C">
        <w:rPr>
          <w:rFonts w:ascii="仿宋_GB2312" w:eastAsia="仿宋_GB2312" w:hAnsi="宋体" w:hint="eastAsia"/>
          <w:kern w:val="2"/>
          <w:sz w:val="32"/>
          <w:szCs w:val="32"/>
        </w:rPr>
        <w:t>负荷要求</w:t>
      </w:r>
      <w:r w:rsidR="009D58B0">
        <w:rPr>
          <w:rFonts w:ascii="仿宋_GB2312" w:eastAsia="仿宋_GB2312" w:hAnsi="宋体" w:hint="eastAsia"/>
          <w:kern w:val="2"/>
          <w:sz w:val="32"/>
          <w:szCs w:val="32"/>
        </w:rPr>
        <w:t>。</w:t>
      </w:r>
    </w:p>
    <w:p w14:paraId="7846071C" w14:textId="0A2E12CB" w:rsidR="009D58B0" w:rsidRPr="009D58B0" w:rsidRDefault="008C551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7、</w:t>
      </w:r>
      <w:r w:rsidR="009D58B0">
        <w:rPr>
          <w:rFonts w:ascii="仿宋_GB2312" w:eastAsia="仿宋_GB2312" w:hAnsi="宋体" w:hint="eastAsia"/>
          <w:kern w:val="2"/>
          <w:sz w:val="32"/>
          <w:szCs w:val="32"/>
        </w:rPr>
        <w:t>政府负责</w:t>
      </w:r>
      <w:r w:rsidR="00BB228C" w:rsidRPr="00BB228C">
        <w:rPr>
          <w:rFonts w:ascii="仿宋_GB2312" w:eastAsia="仿宋_GB2312" w:hAnsi="宋体" w:hint="eastAsia"/>
          <w:kern w:val="2"/>
          <w:sz w:val="32"/>
          <w:szCs w:val="32"/>
        </w:rPr>
        <w:t>按《杨源小学片区开发项目土石方核算工程》</w:t>
      </w:r>
      <w:r w:rsidR="00B62293">
        <w:rPr>
          <w:rFonts w:ascii="仿宋_GB2312" w:eastAsia="仿宋_GB2312" w:hAnsi="宋体" w:hint="eastAsia"/>
          <w:kern w:val="2"/>
          <w:sz w:val="32"/>
          <w:szCs w:val="32"/>
        </w:rPr>
        <w:t>设计</w:t>
      </w:r>
      <w:r w:rsidR="00BB228C" w:rsidRPr="00BB228C">
        <w:rPr>
          <w:rFonts w:ascii="仿宋_GB2312" w:eastAsia="仿宋_GB2312" w:hAnsi="宋体" w:hint="eastAsia"/>
          <w:kern w:val="2"/>
          <w:sz w:val="32"/>
          <w:szCs w:val="32"/>
        </w:rPr>
        <w:t>文件核定</w:t>
      </w:r>
      <w:r w:rsidR="00B62293">
        <w:rPr>
          <w:rFonts w:ascii="仿宋_GB2312" w:eastAsia="仿宋_GB2312" w:hAnsi="宋体" w:hint="eastAsia"/>
          <w:kern w:val="2"/>
          <w:sz w:val="32"/>
          <w:szCs w:val="32"/>
        </w:rPr>
        <w:t>的土石方工程量提供弃土场地。</w:t>
      </w:r>
    </w:p>
    <w:p w14:paraId="722A9045" w14:textId="038400AF" w:rsidR="001430A3" w:rsidRPr="00E21823" w:rsidRDefault="008C5519" w:rsidP="00BE6873">
      <w:pPr>
        <w:pStyle w:val="a0"/>
        <w:spacing w:before="0" w:line="640" w:lineRule="exact"/>
        <w:ind w:left="0" w:firstLineChars="200" w:firstLine="640"/>
        <w:rPr>
          <w:rFonts w:ascii="仿宋_GB2312" w:eastAsia="仿宋_GB2312" w:hAnsi="宋体"/>
          <w:kern w:val="2"/>
          <w:sz w:val="32"/>
          <w:szCs w:val="32"/>
        </w:rPr>
      </w:pPr>
      <w:r>
        <w:rPr>
          <w:rFonts w:ascii="仿宋_GB2312" w:eastAsia="仿宋_GB2312" w:hAnsi="宋体" w:hint="eastAsia"/>
          <w:sz w:val="32"/>
          <w:szCs w:val="32"/>
        </w:rPr>
        <w:t>8、</w:t>
      </w:r>
      <w:r w:rsidR="00B22C12">
        <w:rPr>
          <w:rFonts w:ascii="仿宋_GB2312" w:eastAsia="仿宋_GB2312" w:hAnsi="宋体" w:hint="eastAsia"/>
          <w:sz w:val="32"/>
          <w:szCs w:val="32"/>
        </w:rPr>
        <w:t>房地</w:t>
      </w:r>
      <w:r w:rsidR="000F422A">
        <w:rPr>
          <w:rFonts w:ascii="仿宋_GB2312" w:eastAsia="仿宋_GB2312" w:hAnsi="宋体" w:hint="eastAsia"/>
          <w:sz w:val="32"/>
          <w:szCs w:val="32"/>
        </w:rPr>
        <w:t>产</w:t>
      </w:r>
      <w:r w:rsidR="00605271">
        <w:rPr>
          <w:rFonts w:ascii="仿宋_GB2312" w:eastAsia="仿宋_GB2312" w:hAnsi="宋体" w:hint="eastAsia"/>
          <w:sz w:val="32"/>
          <w:szCs w:val="32"/>
        </w:rPr>
        <w:t>开发</w:t>
      </w:r>
      <w:r w:rsidR="000F422A">
        <w:rPr>
          <w:rFonts w:ascii="仿宋_GB2312" w:eastAsia="仿宋_GB2312" w:hAnsi="宋体" w:hint="eastAsia"/>
          <w:sz w:val="32"/>
          <w:szCs w:val="32"/>
        </w:rPr>
        <w:t>用地</w:t>
      </w:r>
      <w:r w:rsidR="005E2D71">
        <w:rPr>
          <w:rFonts w:ascii="仿宋_GB2312" w:eastAsia="仿宋_GB2312" w:hAnsi="宋体" w:hint="eastAsia"/>
          <w:sz w:val="32"/>
          <w:szCs w:val="32"/>
        </w:rPr>
        <w:t>规划指标最终以平江县自然资源局出具的宗地规划条件文件为准，</w:t>
      </w:r>
      <w:r w:rsidR="000F422A">
        <w:rPr>
          <w:rFonts w:ascii="仿宋_GB2312" w:eastAsia="仿宋_GB2312" w:hAnsi="宋体" w:hint="eastAsia"/>
          <w:sz w:val="32"/>
          <w:szCs w:val="32"/>
        </w:rPr>
        <w:t>社区、物业管理用房，幼儿园</w:t>
      </w:r>
      <w:r w:rsidR="0081478C">
        <w:rPr>
          <w:rFonts w:ascii="仿宋_GB2312" w:eastAsia="仿宋_GB2312" w:hAnsi="宋体" w:hint="eastAsia"/>
          <w:sz w:val="32"/>
          <w:szCs w:val="32"/>
        </w:rPr>
        <w:t>、菜市场等配套设施</w:t>
      </w:r>
      <w:r w:rsidR="000F422A">
        <w:rPr>
          <w:rFonts w:ascii="仿宋_GB2312" w:eastAsia="仿宋_GB2312" w:hAnsi="宋体" w:hint="eastAsia"/>
          <w:sz w:val="32"/>
          <w:szCs w:val="32"/>
        </w:rPr>
        <w:t>配置按宗地规划条件规定执行</w:t>
      </w:r>
      <w:r w:rsidR="00B22C12">
        <w:rPr>
          <w:rFonts w:ascii="仿宋_GB2312" w:eastAsia="仿宋_GB2312" w:hAnsi="宋体" w:hint="eastAsia"/>
          <w:sz w:val="32"/>
          <w:szCs w:val="32"/>
        </w:rPr>
        <w:t>，人防工程建设按人防部门要求执行。</w:t>
      </w:r>
    </w:p>
    <w:p w14:paraId="65ED8F71" w14:textId="467D5582" w:rsidR="001430A3"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9、</w:t>
      </w:r>
      <w:r w:rsidR="00B22C12">
        <w:rPr>
          <w:rFonts w:ascii="仿宋_GB2312" w:eastAsia="仿宋_GB2312" w:hAnsi="宋体" w:hint="eastAsia"/>
          <w:sz w:val="32"/>
          <w:szCs w:val="32"/>
        </w:rPr>
        <w:t>房地产</w:t>
      </w:r>
      <w:r w:rsidR="00605271">
        <w:rPr>
          <w:rFonts w:ascii="仿宋_GB2312" w:eastAsia="仿宋_GB2312" w:hAnsi="宋体" w:hint="eastAsia"/>
          <w:sz w:val="32"/>
          <w:szCs w:val="32"/>
        </w:rPr>
        <w:t>开发</w:t>
      </w:r>
      <w:r>
        <w:rPr>
          <w:rFonts w:ascii="仿宋_GB2312" w:eastAsia="仿宋_GB2312" w:hAnsi="宋体" w:hint="eastAsia"/>
          <w:sz w:val="32"/>
          <w:szCs w:val="32"/>
        </w:rPr>
        <w:t>用地</w:t>
      </w:r>
      <w:r w:rsidR="00B22C12">
        <w:rPr>
          <w:rFonts w:ascii="仿宋_GB2312" w:eastAsia="仿宋_GB2312" w:hAnsi="宋体" w:hint="eastAsia"/>
          <w:sz w:val="32"/>
          <w:szCs w:val="32"/>
        </w:rPr>
        <w:t>土地出让价款按</w:t>
      </w:r>
      <w:r w:rsidR="00B22C12">
        <w:rPr>
          <w:rFonts w:ascii="仿宋_GB2312" w:eastAsia="仿宋_GB2312" w:hAnsi="宋体"/>
          <w:sz w:val="32"/>
          <w:szCs w:val="32"/>
        </w:rPr>
        <w:t>3</w:t>
      </w:r>
      <w:r w:rsidR="00B22C12">
        <w:rPr>
          <w:rFonts w:ascii="仿宋_GB2312" w:eastAsia="仿宋_GB2312" w:hAnsi="宋体" w:hint="eastAsia"/>
          <w:sz w:val="32"/>
          <w:szCs w:val="32"/>
        </w:rPr>
        <w:t>：</w:t>
      </w:r>
      <w:r w:rsidR="00B22C12">
        <w:rPr>
          <w:rFonts w:ascii="仿宋_GB2312" w:eastAsia="仿宋_GB2312" w:hAnsi="宋体"/>
          <w:sz w:val="32"/>
          <w:szCs w:val="32"/>
        </w:rPr>
        <w:t>3</w:t>
      </w:r>
      <w:r w:rsidR="00B22C12">
        <w:rPr>
          <w:rFonts w:ascii="仿宋_GB2312" w:eastAsia="仿宋_GB2312" w:hAnsi="宋体" w:hint="eastAsia"/>
          <w:sz w:val="32"/>
          <w:szCs w:val="32"/>
        </w:rPr>
        <w:t>：</w:t>
      </w:r>
      <w:r w:rsidR="00B22C12">
        <w:rPr>
          <w:rFonts w:ascii="仿宋_GB2312" w:eastAsia="仿宋_GB2312" w:hAnsi="宋体"/>
          <w:sz w:val="32"/>
          <w:szCs w:val="32"/>
        </w:rPr>
        <w:t>4</w:t>
      </w:r>
      <w:r w:rsidR="00B22C12">
        <w:rPr>
          <w:rFonts w:ascii="仿宋_GB2312" w:eastAsia="仿宋_GB2312" w:hAnsi="宋体" w:hint="eastAsia"/>
          <w:sz w:val="32"/>
          <w:szCs w:val="32"/>
        </w:rPr>
        <w:t>的比例在一年内缴清，按该规定分期缴纳土地价款将不影响商品房预售许可的办理。</w:t>
      </w:r>
    </w:p>
    <w:p w14:paraId="65A4BCF0" w14:textId="47F2BB7D" w:rsidR="001430A3"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0</w:t>
      </w:r>
      <w:r>
        <w:rPr>
          <w:rFonts w:ascii="仿宋_GB2312" w:eastAsia="仿宋_GB2312" w:hAnsi="宋体" w:hint="eastAsia"/>
          <w:sz w:val="32"/>
          <w:szCs w:val="32"/>
        </w:rPr>
        <w:t>、</w:t>
      </w:r>
      <w:r w:rsidR="00CF1C8C">
        <w:rPr>
          <w:rFonts w:ascii="仿宋_GB2312" w:eastAsia="仿宋_GB2312" w:hAnsi="宋体" w:hint="eastAsia"/>
          <w:sz w:val="32"/>
          <w:szCs w:val="32"/>
        </w:rPr>
        <w:t>房地产</w:t>
      </w:r>
      <w:r w:rsidR="00605271">
        <w:rPr>
          <w:rFonts w:ascii="仿宋_GB2312" w:eastAsia="仿宋_GB2312" w:hAnsi="宋体" w:hint="eastAsia"/>
          <w:sz w:val="32"/>
          <w:szCs w:val="32"/>
        </w:rPr>
        <w:t>开发</w:t>
      </w:r>
      <w:r>
        <w:rPr>
          <w:rFonts w:ascii="仿宋_GB2312" w:eastAsia="仿宋_GB2312" w:hAnsi="宋体" w:hint="eastAsia"/>
          <w:sz w:val="32"/>
          <w:szCs w:val="32"/>
        </w:rPr>
        <w:t>用地开发中的</w:t>
      </w:r>
      <w:r w:rsidR="00CF1C8C">
        <w:rPr>
          <w:rFonts w:ascii="仿宋_GB2312" w:eastAsia="仿宋_GB2312" w:hAnsi="宋体" w:hint="eastAsia"/>
          <w:sz w:val="32"/>
          <w:szCs w:val="32"/>
        </w:rPr>
        <w:t>车库设置可根据宗地地形情况，灵活采取地下或地上架空支护形式，并要保证实现小区内人车分流设置。</w:t>
      </w:r>
    </w:p>
    <w:p w14:paraId="7BF129B0" w14:textId="50A332B3" w:rsidR="001430A3"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11、</w:t>
      </w:r>
      <w:r w:rsidR="00CF1C8C">
        <w:rPr>
          <w:rFonts w:ascii="仿宋_GB2312" w:eastAsia="仿宋_GB2312" w:hAnsi="宋体" w:hint="eastAsia"/>
          <w:sz w:val="32"/>
          <w:szCs w:val="32"/>
        </w:rPr>
        <w:t>政府</w:t>
      </w:r>
      <w:r>
        <w:rPr>
          <w:rFonts w:ascii="仿宋_GB2312" w:eastAsia="仿宋_GB2312" w:hAnsi="宋体" w:hint="eastAsia"/>
          <w:sz w:val="32"/>
          <w:szCs w:val="32"/>
        </w:rPr>
        <w:t>委派平江县城市建设投资服务中心</w:t>
      </w:r>
      <w:r w:rsidR="00CF1C8C">
        <w:rPr>
          <w:rFonts w:ascii="仿宋_GB2312" w:eastAsia="仿宋_GB2312" w:hAnsi="宋体" w:hint="eastAsia"/>
          <w:sz w:val="32"/>
          <w:szCs w:val="32"/>
        </w:rPr>
        <w:t>，</w:t>
      </w:r>
      <w:r>
        <w:rPr>
          <w:rFonts w:ascii="仿宋_GB2312" w:eastAsia="仿宋_GB2312" w:hAnsi="宋体" w:hint="eastAsia"/>
          <w:sz w:val="32"/>
          <w:szCs w:val="32"/>
        </w:rPr>
        <w:t>专门</w:t>
      </w:r>
      <w:r w:rsidR="00CF1C8C">
        <w:rPr>
          <w:rFonts w:ascii="仿宋_GB2312" w:eastAsia="仿宋_GB2312" w:hAnsi="宋体" w:hint="eastAsia"/>
          <w:sz w:val="32"/>
          <w:szCs w:val="32"/>
        </w:rPr>
        <w:t>负责片区开发项目的全过程管理。</w:t>
      </w:r>
    </w:p>
    <w:p w14:paraId="3C246745" w14:textId="37EA1CAB" w:rsidR="00642CA8" w:rsidRPr="008C5519" w:rsidRDefault="008C5519"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12、</w:t>
      </w:r>
      <w:r w:rsidR="00CF1C8C">
        <w:rPr>
          <w:rFonts w:ascii="仿宋_GB2312" w:eastAsia="仿宋_GB2312" w:hAnsi="宋体" w:hint="eastAsia"/>
          <w:sz w:val="32"/>
          <w:szCs w:val="32"/>
        </w:rPr>
        <w:t>学校验收合格交付后，按教学周期启动招生并正常开学，片区商住项目业主子女享受学位优先入学政策。</w:t>
      </w:r>
    </w:p>
    <w:p w14:paraId="7ADE4B7A" w14:textId="1DF053D2" w:rsidR="00491DE5" w:rsidRDefault="00865F48" w:rsidP="00BE6873">
      <w:pPr>
        <w:pStyle w:val="a0"/>
        <w:spacing w:before="0" w:line="640" w:lineRule="exact"/>
        <w:ind w:left="0" w:firstLineChars="200" w:firstLine="640"/>
        <w:rPr>
          <w:rFonts w:ascii="黑体" w:eastAsia="黑体" w:hAnsi="黑体"/>
          <w:sz w:val="32"/>
          <w:szCs w:val="32"/>
        </w:rPr>
      </w:pPr>
      <w:r>
        <w:rPr>
          <w:rFonts w:ascii="黑体" w:eastAsia="黑体" w:hAnsi="黑体" w:hint="eastAsia"/>
          <w:sz w:val="32"/>
          <w:szCs w:val="32"/>
        </w:rPr>
        <w:t>五</w:t>
      </w:r>
      <w:r w:rsidR="008C5519" w:rsidRPr="00091202">
        <w:rPr>
          <w:rFonts w:ascii="黑体" w:eastAsia="黑体" w:hAnsi="黑体" w:hint="eastAsia"/>
          <w:sz w:val="32"/>
          <w:szCs w:val="32"/>
        </w:rPr>
        <w:t>、</w:t>
      </w:r>
      <w:r w:rsidR="00491DE5">
        <w:rPr>
          <w:rFonts w:ascii="黑体" w:eastAsia="黑体" w:hAnsi="黑体" w:hint="eastAsia"/>
          <w:sz w:val="32"/>
          <w:szCs w:val="32"/>
        </w:rPr>
        <w:t>交易平台</w:t>
      </w:r>
    </w:p>
    <w:p w14:paraId="36ABF386" w14:textId="77777777" w:rsidR="00491DE5" w:rsidRPr="00491DE5" w:rsidRDefault="00491DE5" w:rsidP="00BE6873">
      <w:pPr>
        <w:pStyle w:val="a0"/>
        <w:spacing w:before="0" w:line="640" w:lineRule="exact"/>
        <w:ind w:left="0" w:firstLineChars="200" w:firstLine="640"/>
        <w:rPr>
          <w:rFonts w:ascii="仿宋_GB2312" w:eastAsia="仿宋_GB2312" w:hAnsi="宋体"/>
          <w:kern w:val="2"/>
          <w:sz w:val="32"/>
          <w:szCs w:val="32"/>
        </w:rPr>
      </w:pPr>
      <w:r w:rsidRPr="00491DE5">
        <w:rPr>
          <w:rFonts w:ascii="仿宋_GB2312" w:eastAsia="仿宋_GB2312" w:hAnsi="宋体" w:hint="eastAsia"/>
          <w:kern w:val="2"/>
          <w:sz w:val="32"/>
          <w:szCs w:val="32"/>
        </w:rPr>
        <w:t>岳阳市公共资源交易中心</w:t>
      </w:r>
    </w:p>
    <w:p w14:paraId="2B17B7B7" w14:textId="59A1E79E" w:rsidR="00B1580D" w:rsidRPr="00091202" w:rsidRDefault="00491DE5" w:rsidP="00BE6873">
      <w:pPr>
        <w:pStyle w:val="a0"/>
        <w:spacing w:before="0" w:line="640" w:lineRule="exact"/>
        <w:ind w:left="0" w:firstLineChars="200" w:firstLine="640"/>
        <w:rPr>
          <w:rFonts w:ascii="黑体" w:eastAsia="黑体" w:hAnsi="黑体"/>
          <w:sz w:val="32"/>
          <w:szCs w:val="32"/>
        </w:rPr>
      </w:pPr>
      <w:r>
        <w:rPr>
          <w:rFonts w:ascii="黑体" w:eastAsia="黑体" w:hAnsi="黑体" w:hint="eastAsia"/>
          <w:sz w:val="32"/>
          <w:szCs w:val="32"/>
        </w:rPr>
        <w:t>六</w:t>
      </w:r>
      <w:r w:rsidRPr="00D045FB">
        <w:rPr>
          <w:rFonts w:ascii="黑体" w:eastAsia="黑体" w:hAnsi="黑体" w:hint="eastAsia"/>
          <w:sz w:val="32"/>
          <w:szCs w:val="32"/>
        </w:rPr>
        <w:t>、</w:t>
      </w:r>
      <w:r w:rsidR="00091202" w:rsidRPr="00091202">
        <w:rPr>
          <w:rFonts w:ascii="黑体" w:eastAsia="黑体" w:hAnsi="黑体" w:hint="eastAsia"/>
          <w:sz w:val="32"/>
          <w:szCs w:val="32"/>
        </w:rPr>
        <w:t>拍卖方式</w:t>
      </w:r>
    </w:p>
    <w:p w14:paraId="311A69A5" w14:textId="17748883" w:rsidR="00091202" w:rsidRPr="00091202" w:rsidRDefault="00605271" w:rsidP="00BE6873">
      <w:pPr>
        <w:pStyle w:val="a0"/>
        <w:spacing w:before="0" w:line="640" w:lineRule="exact"/>
        <w:ind w:left="0" w:firstLineChars="200" w:firstLine="640"/>
        <w:rPr>
          <w:rFonts w:ascii="仿宋_GB2312" w:eastAsia="仿宋_GB2312"/>
          <w:sz w:val="32"/>
          <w:szCs w:val="32"/>
        </w:rPr>
      </w:pPr>
      <w:r>
        <w:rPr>
          <w:rFonts w:ascii="仿宋_GB2312" w:eastAsia="仿宋_GB2312" w:hint="eastAsia"/>
          <w:sz w:val="32"/>
          <w:szCs w:val="32"/>
        </w:rPr>
        <w:lastRenderedPageBreak/>
        <w:t>设有底价增价拍卖</w:t>
      </w:r>
      <w:r w:rsidR="00263DCB">
        <w:rPr>
          <w:rFonts w:ascii="仿宋_GB2312" w:eastAsia="仿宋_GB2312" w:hint="eastAsia"/>
          <w:sz w:val="32"/>
          <w:szCs w:val="32"/>
        </w:rPr>
        <w:t>。拍卖采取拍卖会议现场举牌报价方式竞价，按价高者得原则确定买受人。</w:t>
      </w:r>
    </w:p>
    <w:p w14:paraId="573C75C2" w14:textId="659129F5" w:rsidR="00D045FB" w:rsidRPr="00D045FB" w:rsidRDefault="00491DE5" w:rsidP="00BE6873">
      <w:pPr>
        <w:pStyle w:val="a0"/>
        <w:spacing w:before="0" w:line="640" w:lineRule="exact"/>
        <w:ind w:left="0" w:firstLineChars="200" w:firstLine="640"/>
        <w:rPr>
          <w:rFonts w:ascii="黑体" w:eastAsia="黑体" w:hAnsi="黑体"/>
          <w:sz w:val="32"/>
          <w:szCs w:val="32"/>
        </w:rPr>
      </w:pPr>
      <w:r>
        <w:rPr>
          <w:rFonts w:ascii="黑体" w:eastAsia="黑体" w:hAnsi="黑体" w:hint="eastAsia"/>
          <w:sz w:val="32"/>
          <w:szCs w:val="32"/>
        </w:rPr>
        <w:t>七、</w:t>
      </w:r>
      <w:r w:rsidR="00D045FB" w:rsidRPr="00D045FB">
        <w:rPr>
          <w:rFonts w:ascii="黑体" w:eastAsia="黑体" w:hAnsi="黑体" w:hint="eastAsia"/>
          <w:sz w:val="32"/>
          <w:szCs w:val="32"/>
        </w:rPr>
        <w:t>竞拍资格</w:t>
      </w:r>
    </w:p>
    <w:p w14:paraId="437E7D79" w14:textId="66A075A7" w:rsidR="00D045FB" w:rsidRPr="00D045FB" w:rsidRDefault="00D045FB" w:rsidP="00BE6873">
      <w:pPr>
        <w:pStyle w:val="a0"/>
        <w:spacing w:before="0" w:line="640" w:lineRule="exact"/>
        <w:ind w:left="0" w:firstLineChars="200" w:firstLine="640"/>
        <w:rPr>
          <w:rFonts w:ascii="仿宋_GB2312" w:eastAsia="仿宋_GB2312" w:hAnsi="宋体"/>
          <w:kern w:val="2"/>
          <w:sz w:val="32"/>
          <w:szCs w:val="32"/>
        </w:rPr>
      </w:pPr>
      <w:r w:rsidRPr="00D045FB">
        <w:rPr>
          <w:rFonts w:ascii="仿宋_GB2312" w:eastAsia="仿宋_GB2312" w:hAnsi="宋体" w:hint="eastAsia"/>
          <w:kern w:val="2"/>
          <w:sz w:val="32"/>
          <w:szCs w:val="32"/>
        </w:rPr>
        <w:t>1、不接受自然人报名；</w:t>
      </w:r>
    </w:p>
    <w:p w14:paraId="78C7C2BA" w14:textId="22864E03" w:rsidR="00D045FB" w:rsidRPr="00D045FB" w:rsidRDefault="00D045FB" w:rsidP="00BE6873">
      <w:pPr>
        <w:pStyle w:val="a0"/>
        <w:spacing w:before="0" w:line="640" w:lineRule="exact"/>
        <w:ind w:left="0" w:firstLineChars="200" w:firstLine="640"/>
        <w:rPr>
          <w:rFonts w:ascii="仿宋_GB2312" w:eastAsia="仿宋_GB2312" w:hAnsi="宋体"/>
          <w:kern w:val="2"/>
          <w:sz w:val="32"/>
          <w:szCs w:val="32"/>
        </w:rPr>
      </w:pPr>
      <w:r w:rsidRPr="00D045FB">
        <w:rPr>
          <w:rFonts w:ascii="仿宋_GB2312" w:eastAsia="仿宋_GB2312" w:hAnsi="宋体" w:hint="eastAsia"/>
          <w:kern w:val="2"/>
          <w:sz w:val="32"/>
          <w:szCs w:val="32"/>
        </w:rPr>
        <w:t>2、不接受联合体报名；</w:t>
      </w:r>
    </w:p>
    <w:p w14:paraId="09B79895" w14:textId="4438C504" w:rsidR="00B1580D" w:rsidRDefault="00D045FB" w:rsidP="00BE6873">
      <w:pPr>
        <w:pStyle w:val="a0"/>
        <w:spacing w:before="0" w:line="640" w:lineRule="exact"/>
        <w:ind w:left="0" w:firstLineChars="200" w:firstLine="640"/>
        <w:rPr>
          <w:rFonts w:ascii="仿宋_GB2312" w:eastAsia="仿宋_GB2312" w:hAnsi="宋体"/>
          <w:kern w:val="2"/>
          <w:sz w:val="32"/>
          <w:szCs w:val="32"/>
        </w:rPr>
      </w:pPr>
      <w:r w:rsidRPr="00D045FB">
        <w:rPr>
          <w:rFonts w:ascii="仿宋_GB2312" w:eastAsia="仿宋_GB2312" w:hAnsi="宋体" w:hint="eastAsia"/>
          <w:kern w:val="2"/>
          <w:sz w:val="32"/>
          <w:szCs w:val="32"/>
        </w:rPr>
        <w:t>3、竞买人必须为具备房地产开发资质的房地产开发企业。</w:t>
      </w:r>
    </w:p>
    <w:p w14:paraId="50EAFC20" w14:textId="1B280A48" w:rsidR="00D045FB" w:rsidRPr="00865F48" w:rsidRDefault="00491DE5" w:rsidP="00BE6873">
      <w:pPr>
        <w:pStyle w:val="a0"/>
        <w:spacing w:before="0" w:line="640" w:lineRule="exact"/>
        <w:ind w:left="0" w:firstLineChars="200" w:firstLine="640"/>
        <w:rPr>
          <w:rFonts w:ascii="黑体" w:eastAsia="黑体" w:hAnsi="黑体"/>
          <w:kern w:val="2"/>
          <w:sz w:val="32"/>
          <w:szCs w:val="32"/>
        </w:rPr>
      </w:pPr>
      <w:r>
        <w:rPr>
          <w:rFonts w:ascii="黑体" w:eastAsia="黑体" w:hAnsi="黑体" w:hint="eastAsia"/>
          <w:kern w:val="2"/>
          <w:sz w:val="32"/>
          <w:szCs w:val="32"/>
        </w:rPr>
        <w:t>八</w:t>
      </w:r>
      <w:r w:rsidR="00D045FB" w:rsidRPr="00865F48">
        <w:rPr>
          <w:rFonts w:ascii="黑体" w:eastAsia="黑体" w:hAnsi="黑体" w:hint="eastAsia"/>
          <w:kern w:val="2"/>
          <w:sz w:val="32"/>
          <w:szCs w:val="32"/>
        </w:rPr>
        <w:t>、起拍价格</w:t>
      </w:r>
    </w:p>
    <w:p w14:paraId="05359BD8" w14:textId="1DBBA014" w:rsidR="00D045FB" w:rsidRPr="00865F48" w:rsidRDefault="00865F48" w:rsidP="00BE6873">
      <w:pPr>
        <w:pStyle w:val="a0"/>
        <w:spacing w:before="0" w:line="640" w:lineRule="exact"/>
        <w:ind w:left="0" w:firstLineChars="200" w:firstLine="640"/>
        <w:rPr>
          <w:rFonts w:ascii="仿宋_GB2312" w:eastAsia="仿宋_GB2312" w:hAnsi="宋体"/>
          <w:kern w:val="2"/>
          <w:sz w:val="32"/>
          <w:szCs w:val="32"/>
        </w:rPr>
      </w:pPr>
      <w:r w:rsidRPr="00865F48">
        <w:rPr>
          <w:rFonts w:ascii="仿宋_GB2312" w:eastAsia="仿宋_GB2312" w:hAnsi="宋体" w:hint="eastAsia"/>
          <w:kern w:val="2"/>
          <w:sz w:val="32"/>
          <w:szCs w:val="32"/>
        </w:rPr>
        <w:t>片区开发经营权起拍价格为1</w:t>
      </w:r>
      <w:r w:rsidRPr="00865F48">
        <w:rPr>
          <w:rFonts w:ascii="仿宋_GB2312" w:eastAsia="仿宋_GB2312" w:hAnsi="宋体"/>
          <w:kern w:val="2"/>
          <w:sz w:val="32"/>
          <w:szCs w:val="32"/>
        </w:rPr>
        <w:t>00</w:t>
      </w:r>
      <w:r w:rsidRPr="00865F48">
        <w:rPr>
          <w:rFonts w:ascii="仿宋_GB2312" w:eastAsia="仿宋_GB2312" w:hAnsi="宋体" w:hint="eastAsia"/>
          <w:kern w:val="2"/>
          <w:sz w:val="32"/>
          <w:szCs w:val="32"/>
        </w:rPr>
        <w:t>万元</w:t>
      </w:r>
    </w:p>
    <w:p w14:paraId="0F00E7B3" w14:textId="2F899240" w:rsidR="00D045FB" w:rsidRPr="008546DE" w:rsidRDefault="00491DE5" w:rsidP="00BE6873">
      <w:pPr>
        <w:widowControl w:val="0"/>
        <w:spacing w:line="640" w:lineRule="exact"/>
        <w:ind w:firstLineChars="200" w:firstLine="640"/>
        <w:textAlignment w:val="auto"/>
        <w:rPr>
          <w:rFonts w:ascii="黑体" w:eastAsia="黑体" w:hAnsi="黑体"/>
          <w:sz w:val="32"/>
          <w:szCs w:val="32"/>
        </w:rPr>
      </w:pPr>
      <w:r>
        <w:rPr>
          <w:rFonts w:ascii="黑体" w:eastAsia="黑体" w:hAnsi="黑体" w:hint="eastAsia"/>
          <w:sz w:val="32"/>
          <w:szCs w:val="32"/>
        </w:rPr>
        <w:t>九</w:t>
      </w:r>
      <w:r w:rsidR="008546DE" w:rsidRPr="008546DE">
        <w:rPr>
          <w:rFonts w:ascii="黑体" w:eastAsia="黑体" w:hAnsi="黑体" w:hint="eastAsia"/>
          <w:sz w:val="32"/>
          <w:szCs w:val="32"/>
        </w:rPr>
        <w:t>、拍卖时间</w:t>
      </w:r>
    </w:p>
    <w:p w14:paraId="4515C4FC" w14:textId="41F8D6DD" w:rsidR="00B1580D" w:rsidRDefault="008546DE" w:rsidP="00BE6873">
      <w:pPr>
        <w:widowControl w:val="0"/>
        <w:spacing w:line="640" w:lineRule="exact"/>
        <w:ind w:firstLineChars="200" w:firstLine="640"/>
        <w:textAlignment w:val="auto"/>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sidR="00023A99">
        <w:rPr>
          <w:rFonts w:ascii="仿宋_GB2312" w:eastAsia="仿宋_GB2312" w:hAnsi="宋体"/>
          <w:sz w:val="32"/>
          <w:szCs w:val="32"/>
        </w:rPr>
        <w:t>9</w:t>
      </w:r>
      <w:r w:rsidR="00530D9C">
        <w:rPr>
          <w:rFonts w:ascii="仿宋_GB2312" w:eastAsia="仿宋_GB2312" w:hAnsi="宋体" w:hint="eastAsia"/>
          <w:sz w:val="32"/>
          <w:szCs w:val="32"/>
        </w:rPr>
        <w:t>月</w:t>
      </w:r>
    </w:p>
    <w:p w14:paraId="1627716C" w14:textId="79D5A350" w:rsidR="00491DE5" w:rsidRPr="00491DE5" w:rsidRDefault="00491DE5" w:rsidP="00BE6873">
      <w:pPr>
        <w:pStyle w:val="a0"/>
        <w:spacing w:before="0" w:line="640" w:lineRule="exact"/>
        <w:ind w:left="0" w:firstLineChars="200" w:firstLine="640"/>
        <w:rPr>
          <w:rFonts w:ascii="黑体" w:eastAsia="黑体" w:hAnsi="黑体"/>
          <w:sz w:val="32"/>
          <w:szCs w:val="32"/>
        </w:rPr>
      </w:pPr>
      <w:r w:rsidRPr="00491DE5">
        <w:rPr>
          <w:rFonts w:ascii="黑体" w:eastAsia="黑体" w:hAnsi="黑体" w:hint="eastAsia"/>
          <w:sz w:val="32"/>
          <w:szCs w:val="32"/>
        </w:rPr>
        <w:t>十、拍卖地点</w:t>
      </w:r>
    </w:p>
    <w:p w14:paraId="13E7213C" w14:textId="0257AD96" w:rsidR="00491DE5" w:rsidRPr="00491DE5" w:rsidRDefault="00491DE5" w:rsidP="00BE6873">
      <w:pPr>
        <w:pStyle w:val="a0"/>
        <w:spacing w:before="0" w:line="640" w:lineRule="exact"/>
        <w:ind w:left="0" w:firstLineChars="200" w:firstLine="640"/>
        <w:rPr>
          <w:rFonts w:ascii="仿宋_GB2312" w:eastAsia="仿宋_GB2312" w:hAnsi="黑体"/>
          <w:sz w:val="32"/>
          <w:szCs w:val="32"/>
        </w:rPr>
      </w:pPr>
      <w:r w:rsidRPr="00491DE5">
        <w:rPr>
          <w:rFonts w:ascii="仿宋_GB2312" w:eastAsia="仿宋_GB2312" w:hAnsi="黑体" w:hint="eastAsia"/>
          <w:sz w:val="32"/>
          <w:szCs w:val="32"/>
        </w:rPr>
        <w:t>平江县行政审批服务局会议室</w:t>
      </w:r>
    </w:p>
    <w:p w14:paraId="5724F064" w14:textId="42A26908" w:rsidR="00642CA8" w:rsidRPr="00661990" w:rsidRDefault="00661990" w:rsidP="00661990">
      <w:pPr>
        <w:pStyle w:val="a4"/>
        <w:ind w:firstLineChars="0" w:firstLine="0"/>
        <w:rPr>
          <w:rFonts w:ascii="仿宋_GB2312" w:eastAsia="仿宋_GB2312"/>
          <w:sz w:val="32"/>
          <w:szCs w:val="32"/>
        </w:rPr>
      </w:pPr>
      <w:r w:rsidRPr="00661990">
        <w:rPr>
          <w:rFonts w:ascii="仿宋_GB2312" w:eastAsia="仿宋_GB2312" w:hint="eastAsia"/>
          <w:noProof/>
          <w:sz w:val="32"/>
          <w:szCs w:val="32"/>
        </w:rPr>
        <w:lastRenderedPageBreak/>
        <w:drawing>
          <wp:anchor distT="0" distB="0" distL="114300" distR="114300" simplePos="0" relativeHeight="251658240" behindDoc="0" locked="0" layoutInCell="1" allowOverlap="1" wp14:anchorId="7449952E" wp14:editId="23BBD43D">
            <wp:simplePos x="0" y="0"/>
            <wp:positionH relativeFrom="margin">
              <wp:posOffset>-224155</wp:posOffset>
            </wp:positionH>
            <wp:positionV relativeFrom="paragraph">
              <wp:posOffset>295275</wp:posOffset>
            </wp:positionV>
            <wp:extent cx="6141720" cy="8037195"/>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1720" cy="803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990">
        <w:rPr>
          <w:rFonts w:ascii="仿宋_GB2312" w:eastAsia="仿宋_GB2312" w:hint="eastAsia"/>
          <w:sz w:val="32"/>
          <w:szCs w:val="32"/>
        </w:rPr>
        <w:t>附件1：</w:t>
      </w:r>
    </w:p>
    <w:p w14:paraId="0008597C" w14:textId="511B8AFB" w:rsidR="00661990" w:rsidRPr="00D323F6" w:rsidRDefault="00D323F6" w:rsidP="00D323F6">
      <w:pPr>
        <w:pStyle w:val="a4"/>
        <w:ind w:firstLineChars="0" w:firstLine="0"/>
        <w:rPr>
          <w:rFonts w:ascii="仿宋_GB2312" w:eastAsia="仿宋_GB2312"/>
          <w:sz w:val="32"/>
          <w:szCs w:val="36"/>
        </w:rPr>
      </w:pPr>
      <w:r w:rsidRPr="00D323F6">
        <w:rPr>
          <w:rFonts w:ascii="仿宋_GB2312" w:eastAsia="仿宋_GB2312" w:hint="eastAsia"/>
          <w:sz w:val="32"/>
          <w:szCs w:val="36"/>
        </w:rPr>
        <w:lastRenderedPageBreak/>
        <w:t>附件2：</w:t>
      </w:r>
    </w:p>
    <w:p w14:paraId="5B5DA384" w14:textId="331BE09D" w:rsidR="00661990" w:rsidRPr="00D323F6" w:rsidRDefault="00661990" w:rsidP="00D323F6">
      <w:pPr>
        <w:widowControl w:val="0"/>
        <w:spacing w:line="640" w:lineRule="exact"/>
        <w:jc w:val="center"/>
        <w:textAlignment w:val="auto"/>
        <w:rPr>
          <w:rFonts w:ascii="黑体" w:eastAsia="黑体" w:hAnsi="黑体"/>
          <w:sz w:val="32"/>
          <w:szCs w:val="32"/>
        </w:rPr>
      </w:pPr>
      <w:r w:rsidRPr="00D323F6">
        <w:rPr>
          <w:rFonts w:ascii="黑体" w:eastAsia="黑体" w:hAnsi="黑体" w:hint="eastAsia"/>
          <w:sz w:val="32"/>
          <w:szCs w:val="32"/>
        </w:rPr>
        <w:t>基础设施建设项目清单</w:t>
      </w:r>
    </w:p>
    <w:tbl>
      <w:tblPr>
        <w:tblW w:w="0" w:type="auto"/>
        <w:tblLook w:val="04A0" w:firstRow="1" w:lastRow="0" w:firstColumn="1" w:lastColumn="0" w:noHBand="0" w:noVBand="1"/>
      </w:tblPr>
      <w:tblGrid>
        <w:gridCol w:w="2095"/>
        <w:gridCol w:w="6739"/>
      </w:tblGrid>
      <w:tr w:rsidR="00D323F6" w:rsidRPr="00D323F6" w14:paraId="62D40E37" w14:textId="77777777" w:rsidTr="00854D8D">
        <w:trPr>
          <w:trHeight w:val="977"/>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3256E502" w14:textId="77777777" w:rsidR="00D323F6" w:rsidRPr="00D323F6" w:rsidRDefault="00D323F6" w:rsidP="00701346">
            <w:pPr>
              <w:widowControl w:val="0"/>
              <w:jc w:val="center"/>
              <w:textAlignment w:val="auto"/>
              <w:rPr>
                <w:rFonts w:ascii="黑体" w:eastAsia="黑体" w:hAnsi="黑体" w:cs="宋体"/>
                <w:bCs/>
                <w:kern w:val="0"/>
                <w:sz w:val="24"/>
                <w:szCs w:val="24"/>
              </w:rPr>
            </w:pPr>
            <w:r w:rsidRPr="00D323F6">
              <w:rPr>
                <w:rFonts w:ascii="黑体" w:eastAsia="黑体" w:hAnsi="黑体" w:cs="宋体" w:hint="eastAsia"/>
                <w:bCs/>
                <w:kern w:val="0"/>
                <w:sz w:val="24"/>
                <w:szCs w:val="24"/>
              </w:rPr>
              <w:t>项目名称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A9C4DF9" w14:textId="77777777" w:rsidR="00D323F6" w:rsidRPr="00D323F6" w:rsidRDefault="00D323F6" w:rsidP="00854D8D">
            <w:pPr>
              <w:widowControl w:val="0"/>
              <w:jc w:val="center"/>
              <w:textAlignment w:val="auto"/>
              <w:rPr>
                <w:rFonts w:ascii="黑体" w:eastAsia="黑体" w:hAnsi="黑体" w:cs="宋体"/>
                <w:bCs/>
                <w:kern w:val="0"/>
                <w:sz w:val="24"/>
                <w:szCs w:val="24"/>
              </w:rPr>
            </w:pPr>
            <w:r w:rsidRPr="00D323F6">
              <w:rPr>
                <w:rFonts w:ascii="黑体" w:eastAsia="黑体" w:hAnsi="黑体" w:cs="宋体" w:hint="eastAsia"/>
                <w:bCs/>
                <w:kern w:val="0"/>
                <w:sz w:val="24"/>
                <w:szCs w:val="24"/>
              </w:rPr>
              <w:t>项目建设内容</w:t>
            </w:r>
          </w:p>
        </w:tc>
      </w:tr>
      <w:tr w:rsidR="00D323F6" w14:paraId="531BDA31" w14:textId="77777777" w:rsidTr="00854D8D">
        <w:trPr>
          <w:trHeight w:val="311"/>
        </w:trPr>
        <w:tc>
          <w:tcPr>
            <w:tcW w:w="0" w:type="auto"/>
            <w:vMerge/>
            <w:tcBorders>
              <w:top w:val="single" w:sz="4" w:space="0" w:color="auto"/>
              <w:left w:val="single" w:sz="4" w:space="0" w:color="auto"/>
              <w:bottom w:val="single" w:sz="4" w:space="0" w:color="auto"/>
              <w:right w:val="single" w:sz="4" w:space="0" w:color="auto"/>
            </w:tcBorders>
            <w:vAlign w:val="center"/>
          </w:tcPr>
          <w:p w14:paraId="7C3251C8" w14:textId="77777777" w:rsidR="00D323F6" w:rsidRPr="00D323F6" w:rsidRDefault="00D323F6" w:rsidP="00701346">
            <w:pPr>
              <w:widowControl w:val="0"/>
              <w:jc w:val="left"/>
              <w:textAlignment w:val="auto"/>
              <w:rPr>
                <w:rFonts w:ascii="仿宋_GB2312" w:eastAsia="仿宋_GB2312" w:cs="宋体"/>
                <w:b/>
                <w:bCs/>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7864E3" w14:textId="77777777" w:rsidR="00D323F6" w:rsidRPr="00D323F6" w:rsidRDefault="00D323F6" w:rsidP="00701346">
            <w:pPr>
              <w:widowControl w:val="0"/>
              <w:jc w:val="left"/>
              <w:textAlignment w:val="auto"/>
              <w:rPr>
                <w:rFonts w:ascii="仿宋_GB2312" w:eastAsia="仿宋_GB2312" w:cs="宋体"/>
                <w:b/>
                <w:bCs/>
                <w:kern w:val="0"/>
                <w:sz w:val="24"/>
                <w:szCs w:val="24"/>
              </w:rPr>
            </w:pPr>
          </w:p>
        </w:tc>
      </w:tr>
      <w:tr w:rsidR="00D323F6" w14:paraId="6BDCEB19"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6E8E6BA8"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杨源小学</w:t>
            </w:r>
          </w:p>
        </w:tc>
        <w:tc>
          <w:tcPr>
            <w:tcW w:w="0" w:type="auto"/>
            <w:tcBorders>
              <w:top w:val="nil"/>
              <w:left w:val="nil"/>
              <w:bottom w:val="single" w:sz="4" w:space="0" w:color="auto"/>
              <w:right w:val="single" w:sz="4" w:space="0" w:color="auto"/>
            </w:tcBorders>
            <w:vAlign w:val="center"/>
          </w:tcPr>
          <w:p w14:paraId="68C4EE69"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项目用地面积58244</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，容积率</w:t>
            </w:r>
            <w:r w:rsidRPr="000E60F3">
              <w:rPr>
                <w:rFonts w:asciiTheme="minorEastAsia" w:eastAsiaTheme="minorEastAsia" w:hAnsiTheme="minorEastAsia" w:cs="宋体" w:hint="eastAsia"/>
                <w:kern w:val="0"/>
                <w:sz w:val="24"/>
                <w:szCs w:val="24"/>
              </w:rPr>
              <w:t>0.93，总建筑面积52803</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，设置</w:t>
            </w:r>
            <w:r w:rsidRPr="000E60F3">
              <w:rPr>
                <w:rFonts w:asciiTheme="minorEastAsia" w:eastAsiaTheme="minorEastAsia" w:hAnsiTheme="minorEastAsia" w:cs="宋体" w:hint="eastAsia"/>
                <w:kern w:val="0"/>
                <w:sz w:val="24"/>
                <w:szCs w:val="24"/>
              </w:rPr>
              <w:t>60个班、2700个学位。</w:t>
            </w:r>
          </w:p>
        </w:tc>
      </w:tr>
      <w:tr w:rsidR="00D323F6" w14:paraId="42101E5F"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15340B08"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城市山体公园</w:t>
            </w:r>
          </w:p>
        </w:tc>
        <w:tc>
          <w:tcPr>
            <w:tcW w:w="0" w:type="auto"/>
            <w:tcBorders>
              <w:top w:val="nil"/>
              <w:left w:val="nil"/>
              <w:bottom w:val="single" w:sz="4" w:space="0" w:color="auto"/>
              <w:right w:val="single" w:sz="4" w:space="0" w:color="auto"/>
            </w:tcBorders>
            <w:vAlign w:val="center"/>
          </w:tcPr>
          <w:p w14:paraId="0897E995"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用地面积112742.01</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w:t>
            </w:r>
            <w:r w:rsidRPr="000E60F3">
              <w:rPr>
                <w:rFonts w:asciiTheme="minorEastAsia" w:eastAsiaTheme="minorEastAsia" w:hAnsiTheme="minorEastAsia" w:cs="宋体" w:hint="eastAsia"/>
                <w:kern w:val="0"/>
                <w:sz w:val="24"/>
                <w:szCs w:val="24"/>
              </w:rPr>
              <w:t>169.11亩）</w:t>
            </w:r>
          </w:p>
        </w:tc>
      </w:tr>
      <w:tr w:rsidR="00D323F6" w14:paraId="68642EA7"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7F69EB7D"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杨源路</w:t>
            </w:r>
          </w:p>
          <w:p w14:paraId="1D7C1778"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（百花台路-长冲东路）</w:t>
            </w:r>
          </w:p>
        </w:tc>
        <w:tc>
          <w:tcPr>
            <w:tcW w:w="0" w:type="auto"/>
            <w:tcBorders>
              <w:top w:val="nil"/>
              <w:left w:val="nil"/>
              <w:bottom w:val="single" w:sz="4" w:space="0" w:color="auto"/>
              <w:right w:val="single" w:sz="4" w:space="0" w:color="auto"/>
            </w:tcBorders>
            <w:vAlign w:val="center"/>
          </w:tcPr>
          <w:p w14:paraId="3C9D1037"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道路长度1138米，宽度40米，面积 56726.92</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，道路等级为城市主干道，设计时速为</w:t>
            </w:r>
            <w:r w:rsidRPr="000E60F3">
              <w:rPr>
                <w:rFonts w:asciiTheme="minorEastAsia" w:eastAsiaTheme="minorEastAsia" w:hAnsiTheme="minorEastAsia" w:cs="宋体" w:hint="eastAsia"/>
                <w:kern w:val="0"/>
                <w:sz w:val="24"/>
                <w:szCs w:val="24"/>
              </w:rPr>
              <w:t>40km/h。</w:t>
            </w:r>
          </w:p>
        </w:tc>
      </w:tr>
      <w:tr w:rsidR="00D323F6" w14:paraId="7BCDB1A5"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665EA185"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桐树园路</w:t>
            </w:r>
          </w:p>
          <w:p w14:paraId="576757E3"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（甲山东路-狮形路）</w:t>
            </w:r>
          </w:p>
        </w:tc>
        <w:tc>
          <w:tcPr>
            <w:tcW w:w="0" w:type="auto"/>
            <w:tcBorders>
              <w:top w:val="nil"/>
              <w:left w:val="nil"/>
              <w:bottom w:val="single" w:sz="4" w:space="0" w:color="auto"/>
              <w:right w:val="single" w:sz="4" w:space="0" w:color="auto"/>
            </w:tcBorders>
            <w:vAlign w:val="center"/>
          </w:tcPr>
          <w:p w14:paraId="32A380DF"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桐树园路长480米，宽度20米，面积10711.2</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，道路等级为城市支路，设计时速为</w:t>
            </w:r>
            <w:r w:rsidRPr="000E60F3">
              <w:rPr>
                <w:rFonts w:asciiTheme="minorEastAsia" w:eastAsiaTheme="minorEastAsia" w:hAnsiTheme="minorEastAsia" w:cs="宋体" w:hint="eastAsia"/>
                <w:kern w:val="0"/>
                <w:sz w:val="24"/>
                <w:szCs w:val="24"/>
              </w:rPr>
              <w:t>30km/h</w:t>
            </w:r>
          </w:p>
        </w:tc>
      </w:tr>
      <w:tr w:rsidR="00D323F6" w14:paraId="1393DD94"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1D24EFC5"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流泉路</w:t>
            </w:r>
          </w:p>
          <w:p w14:paraId="2D0F108A"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（桐树园路-杨源路）</w:t>
            </w:r>
          </w:p>
        </w:tc>
        <w:tc>
          <w:tcPr>
            <w:tcW w:w="0" w:type="auto"/>
            <w:tcBorders>
              <w:top w:val="nil"/>
              <w:left w:val="nil"/>
              <w:bottom w:val="single" w:sz="4" w:space="0" w:color="auto"/>
              <w:right w:val="single" w:sz="4" w:space="0" w:color="auto"/>
            </w:tcBorders>
            <w:vAlign w:val="center"/>
          </w:tcPr>
          <w:p w14:paraId="35FA4BE9"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流泉街长258米，宽度16米，面积3287.68</w:t>
            </w:r>
            <w:r w:rsidRPr="000E60F3">
              <w:rPr>
                <w:rFonts w:asciiTheme="minorEastAsia" w:eastAsiaTheme="minorEastAsia" w:hAnsiTheme="minorEastAsia" w:cs="Segoe UI Symbol" w:hint="eastAsia"/>
                <w:kern w:val="0"/>
                <w:sz w:val="24"/>
                <w:szCs w:val="24"/>
              </w:rPr>
              <w:t>㎡</w:t>
            </w:r>
            <w:r w:rsidRPr="000E60F3">
              <w:rPr>
                <w:rFonts w:asciiTheme="minorEastAsia" w:eastAsiaTheme="minorEastAsia" w:hAnsiTheme="minorEastAsia" w:cs="仿宋_GB2312" w:hint="eastAsia"/>
                <w:kern w:val="0"/>
                <w:sz w:val="24"/>
                <w:szCs w:val="24"/>
              </w:rPr>
              <w:t>，道路等级为城市支路，设计时速为</w:t>
            </w:r>
            <w:r w:rsidRPr="000E60F3">
              <w:rPr>
                <w:rFonts w:asciiTheme="minorEastAsia" w:eastAsiaTheme="minorEastAsia" w:hAnsiTheme="minorEastAsia" w:cs="宋体" w:hint="eastAsia"/>
                <w:kern w:val="0"/>
                <w:sz w:val="24"/>
                <w:szCs w:val="24"/>
              </w:rPr>
              <w:t>30km/h</w:t>
            </w:r>
          </w:p>
        </w:tc>
      </w:tr>
      <w:tr w:rsidR="00D323F6" w14:paraId="355FC0FA" w14:textId="77777777" w:rsidTr="00854D8D">
        <w:trPr>
          <w:trHeight w:val="977"/>
        </w:trPr>
        <w:tc>
          <w:tcPr>
            <w:tcW w:w="0" w:type="auto"/>
            <w:tcBorders>
              <w:top w:val="nil"/>
              <w:left w:val="single" w:sz="4" w:space="0" w:color="auto"/>
              <w:bottom w:val="single" w:sz="4" w:space="0" w:color="auto"/>
              <w:right w:val="single" w:sz="4" w:space="0" w:color="auto"/>
            </w:tcBorders>
            <w:vAlign w:val="center"/>
          </w:tcPr>
          <w:p w14:paraId="2AA82E97"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防护绿地</w:t>
            </w:r>
          </w:p>
        </w:tc>
        <w:tc>
          <w:tcPr>
            <w:tcW w:w="0" w:type="auto"/>
            <w:tcBorders>
              <w:top w:val="nil"/>
              <w:left w:val="nil"/>
              <w:bottom w:val="single" w:sz="4" w:space="0" w:color="auto"/>
              <w:right w:val="single" w:sz="4" w:space="0" w:color="auto"/>
            </w:tcBorders>
            <w:vAlign w:val="center"/>
          </w:tcPr>
          <w:p w14:paraId="111016B3" w14:textId="77777777" w:rsidR="00D323F6" w:rsidRPr="000E60F3" w:rsidRDefault="00D323F6" w:rsidP="00701346">
            <w:pPr>
              <w:widowControl w:val="0"/>
              <w:jc w:val="center"/>
              <w:textAlignment w:val="auto"/>
              <w:rPr>
                <w:rFonts w:asciiTheme="minorEastAsia" w:eastAsiaTheme="minorEastAsia" w:hAnsiTheme="minorEastAsia" w:cs="宋体"/>
                <w:kern w:val="0"/>
                <w:sz w:val="24"/>
                <w:szCs w:val="24"/>
              </w:rPr>
            </w:pPr>
            <w:r w:rsidRPr="000E60F3">
              <w:rPr>
                <w:rFonts w:asciiTheme="minorEastAsia" w:eastAsiaTheme="minorEastAsia" w:hAnsiTheme="minorEastAsia" w:cs="宋体" w:hint="eastAsia"/>
                <w:kern w:val="0"/>
                <w:sz w:val="24"/>
                <w:szCs w:val="24"/>
              </w:rPr>
              <w:t>总面积18069.97</w:t>
            </w:r>
            <w:r w:rsidRPr="000E60F3">
              <w:rPr>
                <w:rFonts w:asciiTheme="minorEastAsia" w:eastAsiaTheme="minorEastAsia" w:hAnsiTheme="minorEastAsia" w:cs="Segoe UI Symbol" w:hint="eastAsia"/>
                <w:kern w:val="0"/>
                <w:sz w:val="24"/>
                <w:szCs w:val="24"/>
              </w:rPr>
              <w:t>㎡</w:t>
            </w:r>
          </w:p>
        </w:tc>
      </w:tr>
    </w:tbl>
    <w:p w14:paraId="48461886" w14:textId="77777777" w:rsidR="00661990" w:rsidRDefault="00661990" w:rsidP="00D323F6">
      <w:pPr>
        <w:widowControl w:val="0"/>
        <w:spacing w:line="640" w:lineRule="exact"/>
        <w:textAlignment w:val="auto"/>
        <w:rPr>
          <w:rFonts w:ascii="宋体"/>
          <w:sz w:val="32"/>
          <w:szCs w:val="32"/>
        </w:rPr>
        <w:sectPr w:rsidR="00661990" w:rsidSect="00507CE3">
          <w:footerReference w:type="even" r:id="rId8"/>
          <w:footerReference w:type="default" r:id="rId9"/>
          <w:headerReference w:type="first" r:id="rId10"/>
          <w:footerReference w:type="first" r:id="rId11"/>
          <w:pgSz w:w="11906" w:h="16838"/>
          <w:pgMar w:top="1985" w:right="1474" w:bottom="1701" w:left="1588" w:header="851" w:footer="992" w:gutter="0"/>
          <w:pgNumType w:fmt="numberInDash" w:start="1"/>
          <w:cols w:space="425"/>
          <w:titlePg/>
          <w:docGrid w:linePitch="312"/>
        </w:sectPr>
      </w:pPr>
    </w:p>
    <w:p w14:paraId="0EB916F4" w14:textId="67997920" w:rsidR="001430A3" w:rsidRDefault="00854D8D" w:rsidP="00204EFB">
      <w:pPr>
        <w:pStyle w:val="a4"/>
        <w:spacing w:line="440" w:lineRule="exact"/>
        <w:ind w:firstLineChars="0" w:firstLine="0"/>
        <w:rPr>
          <w:rFonts w:ascii="仿宋_GB2312" w:eastAsia="仿宋_GB2312"/>
          <w:sz w:val="32"/>
          <w:szCs w:val="36"/>
        </w:rPr>
      </w:pPr>
      <w:r w:rsidRPr="00854D8D">
        <w:rPr>
          <w:rFonts w:ascii="仿宋_GB2312" w:eastAsia="仿宋_GB2312" w:hint="eastAsia"/>
          <w:sz w:val="32"/>
          <w:szCs w:val="36"/>
        </w:rPr>
        <w:lastRenderedPageBreak/>
        <w:t>附件3：</w:t>
      </w:r>
    </w:p>
    <w:p w14:paraId="1F2339F6" w14:textId="4292962D" w:rsidR="008C7314" w:rsidRPr="008C7314" w:rsidRDefault="008C7314" w:rsidP="00204EFB">
      <w:pPr>
        <w:widowControl w:val="0"/>
        <w:spacing w:line="440" w:lineRule="exact"/>
        <w:jc w:val="center"/>
        <w:textAlignment w:val="auto"/>
        <w:rPr>
          <w:rFonts w:ascii="黑体" w:eastAsia="黑体" w:hAnsi="黑体"/>
          <w:bCs/>
          <w:sz w:val="32"/>
          <w:szCs w:val="32"/>
        </w:rPr>
      </w:pPr>
      <w:r w:rsidRPr="008C7314">
        <w:rPr>
          <w:rFonts w:ascii="黑体" w:eastAsia="黑体" w:hAnsi="黑体" w:hint="eastAsia"/>
          <w:bCs/>
          <w:sz w:val="32"/>
          <w:szCs w:val="32"/>
        </w:rPr>
        <w:t>房地产</w:t>
      </w:r>
      <w:r w:rsidR="00204EFB">
        <w:rPr>
          <w:rFonts w:ascii="黑体" w:eastAsia="黑体" w:hAnsi="黑体" w:hint="eastAsia"/>
          <w:bCs/>
          <w:sz w:val="32"/>
          <w:szCs w:val="32"/>
        </w:rPr>
        <w:t>开发用地</w:t>
      </w:r>
      <w:r w:rsidRPr="008C7314">
        <w:rPr>
          <w:rFonts w:ascii="黑体" w:eastAsia="黑体" w:hAnsi="黑体" w:hint="eastAsia"/>
          <w:bCs/>
          <w:sz w:val="32"/>
          <w:szCs w:val="32"/>
        </w:rPr>
        <w:t>配置清单</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51"/>
        <w:gridCol w:w="800"/>
        <w:gridCol w:w="851"/>
        <w:gridCol w:w="10518"/>
      </w:tblGrid>
      <w:tr w:rsidR="008C7314" w14:paraId="0B445342" w14:textId="77777777" w:rsidTr="00204EFB">
        <w:trPr>
          <w:trHeight w:val="983"/>
        </w:trPr>
        <w:tc>
          <w:tcPr>
            <w:tcW w:w="867" w:type="dxa"/>
            <w:vAlign w:val="center"/>
          </w:tcPr>
          <w:p w14:paraId="2573482B"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土地</w:t>
            </w:r>
          </w:p>
          <w:p w14:paraId="52A45D21"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编号</w:t>
            </w:r>
          </w:p>
        </w:tc>
        <w:tc>
          <w:tcPr>
            <w:tcW w:w="851" w:type="dxa"/>
            <w:vAlign w:val="center"/>
          </w:tcPr>
          <w:p w14:paraId="0695AE15"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面积</w:t>
            </w:r>
          </w:p>
          <w:p w14:paraId="37440F1B"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（亩）</w:t>
            </w:r>
          </w:p>
        </w:tc>
        <w:tc>
          <w:tcPr>
            <w:tcW w:w="800" w:type="dxa"/>
            <w:vAlign w:val="center"/>
          </w:tcPr>
          <w:p w14:paraId="4904507B"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规划</w:t>
            </w:r>
          </w:p>
          <w:p w14:paraId="45905813"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性质</w:t>
            </w:r>
          </w:p>
        </w:tc>
        <w:tc>
          <w:tcPr>
            <w:tcW w:w="851" w:type="dxa"/>
            <w:vAlign w:val="center"/>
          </w:tcPr>
          <w:p w14:paraId="4D8F9F21"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容积率</w:t>
            </w:r>
          </w:p>
        </w:tc>
        <w:tc>
          <w:tcPr>
            <w:tcW w:w="10518" w:type="dxa"/>
            <w:vAlign w:val="center"/>
          </w:tcPr>
          <w:p w14:paraId="19D880BE" w14:textId="77777777" w:rsidR="008C7314" w:rsidRDefault="008C7314" w:rsidP="00701346">
            <w:pPr>
              <w:widowControl w:val="0"/>
              <w:jc w:val="center"/>
              <w:textAlignment w:val="auto"/>
              <w:rPr>
                <w:rFonts w:ascii="黑体" w:eastAsia="黑体" w:hAnsi="宋体"/>
              </w:rPr>
            </w:pPr>
            <w:r>
              <w:rPr>
                <w:rFonts w:ascii="黑体" w:eastAsia="黑体" w:hAnsi="宋体" w:hint="eastAsia"/>
                <w:szCs w:val="22"/>
              </w:rPr>
              <w:t>其他主要规划控制指标</w:t>
            </w:r>
          </w:p>
        </w:tc>
      </w:tr>
      <w:tr w:rsidR="008C7314" w14:paraId="05CC911D" w14:textId="77777777" w:rsidTr="008C7314">
        <w:trPr>
          <w:trHeight w:val="983"/>
        </w:trPr>
        <w:tc>
          <w:tcPr>
            <w:tcW w:w="867" w:type="dxa"/>
            <w:vAlign w:val="center"/>
          </w:tcPr>
          <w:p w14:paraId="573AB5C2" w14:textId="77777777" w:rsidR="008C7314" w:rsidRDefault="008C7314" w:rsidP="00701346">
            <w:pPr>
              <w:widowControl w:val="0"/>
              <w:jc w:val="center"/>
              <w:textAlignment w:val="auto"/>
              <w:rPr>
                <w:rFonts w:ascii="宋体"/>
              </w:rPr>
            </w:pPr>
            <w:r>
              <w:rPr>
                <w:rFonts w:ascii="宋体" w:hAnsi="宋体" w:hint="eastAsia"/>
                <w:szCs w:val="22"/>
              </w:rPr>
              <w:t>地块1</w:t>
            </w:r>
          </w:p>
        </w:tc>
        <w:tc>
          <w:tcPr>
            <w:tcW w:w="851" w:type="dxa"/>
            <w:vAlign w:val="center"/>
          </w:tcPr>
          <w:p w14:paraId="025BC8D1" w14:textId="77777777" w:rsidR="008C7314" w:rsidRDefault="008C7314" w:rsidP="00701346">
            <w:pPr>
              <w:widowControl w:val="0"/>
              <w:jc w:val="center"/>
              <w:textAlignment w:val="auto"/>
              <w:rPr>
                <w:rFonts w:ascii="宋体" w:hAnsi="宋体"/>
              </w:rPr>
            </w:pPr>
            <w:r>
              <w:rPr>
                <w:rFonts w:ascii="宋体" w:hAnsi="宋体" w:hint="eastAsia"/>
                <w:szCs w:val="22"/>
              </w:rPr>
              <w:t>12</w:t>
            </w:r>
          </w:p>
        </w:tc>
        <w:tc>
          <w:tcPr>
            <w:tcW w:w="800" w:type="dxa"/>
            <w:vAlign w:val="center"/>
          </w:tcPr>
          <w:p w14:paraId="1633BEA3" w14:textId="77777777" w:rsidR="008C7314" w:rsidRDefault="008C7314" w:rsidP="00701346">
            <w:pPr>
              <w:widowControl w:val="0"/>
              <w:jc w:val="center"/>
              <w:textAlignment w:val="auto"/>
              <w:rPr>
                <w:rFonts w:ascii="宋体"/>
              </w:rPr>
            </w:pPr>
            <w:r>
              <w:rPr>
                <w:rFonts w:ascii="宋体" w:hAnsi="宋体" w:hint="eastAsia"/>
                <w:szCs w:val="22"/>
              </w:rPr>
              <w:t>商业</w:t>
            </w:r>
          </w:p>
        </w:tc>
        <w:tc>
          <w:tcPr>
            <w:tcW w:w="851" w:type="dxa"/>
            <w:vAlign w:val="center"/>
          </w:tcPr>
          <w:p w14:paraId="5A253C59" w14:textId="77777777" w:rsidR="008C7314" w:rsidRDefault="008C7314" w:rsidP="00701346">
            <w:pPr>
              <w:widowControl w:val="0"/>
              <w:jc w:val="center"/>
              <w:textAlignment w:val="auto"/>
              <w:rPr>
                <w:rFonts w:ascii="宋体" w:hAnsi="宋体"/>
              </w:rPr>
            </w:pPr>
            <w:r>
              <w:rPr>
                <w:rFonts w:ascii="宋体" w:hAnsi="宋体"/>
                <w:szCs w:val="22"/>
              </w:rPr>
              <w:t>1.6</w:t>
            </w:r>
            <w:r w:rsidRPr="004A4607">
              <w:rPr>
                <w:rFonts w:ascii="宋体" w:hAnsi="宋体" w:hint="eastAsia"/>
                <w:szCs w:val="22"/>
              </w:rPr>
              <w:t>～</w:t>
            </w:r>
            <w:r>
              <w:rPr>
                <w:rFonts w:ascii="宋体" w:hAnsi="宋体" w:hint="eastAsia"/>
                <w:szCs w:val="22"/>
              </w:rPr>
              <w:t>2.5</w:t>
            </w:r>
          </w:p>
        </w:tc>
        <w:tc>
          <w:tcPr>
            <w:tcW w:w="10518" w:type="dxa"/>
            <w:vAlign w:val="center"/>
          </w:tcPr>
          <w:p w14:paraId="6188F799" w14:textId="77777777" w:rsidR="008C7314" w:rsidRPr="00535564" w:rsidRDefault="008C7314" w:rsidP="00701346">
            <w:pPr>
              <w:widowControl w:val="0"/>
              <w:jc w:val="left"/>
              <w:textAlignment w:val="auto"/>
              <w:rPr>
                <w:rFonts w:ascii="宋体"/>
                <w:szCs w:val="22"/>
              </w:rPr>
            </w:pPr>
            <w:r>
              <w:rPr>
                <w:rFonts w:ascii="宋体" w:hAnsi="宋体"/>
                <w:szCs w:val="22"/>
              </w:rPr>
              <w:t>1.6</w:t>
            </w:r>
            <w:r>
              <w:rPr>
                <w:rFonts w:ascii="宋体" w:hAnsi="宋体" w:hint="eastAsia"/>
                <w:szCs w:val="22"/>
              </w:rPr>
              <w:t>＜</w:t>
            </w:r>
            <w:r>
              <w:rPr>
                <w:rFonts w:hint="eastAsia"/>
                <w:szCs w:val="22"/>
              </w:rPr>
              <w:t>容</w:t>
            </w:r>
            <w:r w:rsidRPr="00535564">
              <w:rPr>
                <w:rFonts w:ascii="宋体" w:hAnsi="宋体" w:hint="eastAsia"/>
                <w:szCs w:val="22"/>
              </w:rPr>
              <w:t>积率≤2.5，建筑密度≤40%，建筑高度＜</w:t>
            </w:r>
            <w:r>
              <w:rPr>
                <w:rFonts w:ascii="宋体" w:hAnsi="宋体"/>
                <w:szCs w:val="22"/>
              </w:rPr>
              <w:t>54</w:t>
            </w:r>
            <w:r w:rsidRPr="00535564">
              <w:rPr>
                <w:rFonts w:ascii="宋体" w:hAnsi="宋体" w:hint="eastAsia"/>
                <w:szCs w:val="22"/>
              </w:rPr>
              <w:t>m</w:t>
            </w:r>
            <w:r>
              <w:rPr>
                <w:rFonts w:ascii="宋体" w:hAnsi="宋体" w:hint="eastAsia"/>
                <w:szCs w:val="22"/>
              </w:rPr>
              <w:t>，1</w:t>
            </w:r>
            <w:r>
              <w:rPr>
                <w:rFonts w:ascii="宋体" w:hAnsi="宋体"/>
                <w:szCs w:val="22"/>
              </w:rPr>
              <w:t>2800</w:t>
            </w:r>
            <w:r w:rsidRPr="004A4607">
              <w:rPr>
                <w:rFonts w:ascii="宋体" w:hAnsi="宋体" w:hint="eastAsia"/>
                <w:szCs w:val="22"/>
              </w:rPr>
              <w:t>㎡</w:t>
            </w:r>
            <w:r>
              <w:rPr>
                <w:rFonts w:ascii="宋体" w:hAnsi="宋体" w:hint="eastAsia"/>
                <w:szCs w:val="22"/>
              </w:rPr>
              <w:t>＜</w:t>
            </w:r>
            <w:r w:rsidRPr="00535564">
              <w:rPr>
                <w:rFonts w:ascii="宋体" w:hAnsi="宋体" w:hint="eastAsia"/>
                <w:szCs w:val="22"/>
              </w:rPr>
              <w:t>计容总建筑面积≤20000㎡，绿地率≥10%</w:t>
            </w:r>
            <w:r>
              <w:rPr>
                <w:rFonts w:ascii="宋体" w:hAnsi="宋体" w:hint="eastAsia"/>
                <w:szCs w:val="22"/>
              </w:rPr>
              <w:t>。</w:t>
            </w:r>
            <w:r w:rsidRPr="00535564">
              <w:rPr>
                <w:rFonts w:ascii="宋体" w:hAnsi="宋体" w:hint="eastAsia"/>
                <w:szCs w:val="22"/>
              </w:rPr>
              <w:t xml:space="preserve"> 百花台路与杨源路交汇处配</w:t>
            </w:r>
            <w:r>
              <w:rPr>
                <w:rFonts w:ascii="宋体" w:hAnsi="宋体" w:hint="eastAsia"/>
                <w:szCs w:val="22"/>
              </w:rPr>
              <w:t>建</w:t>
            </w:r>
            <w:r w:rsidRPr="00535564">
              <w:rPr>
                <w:rFonts w:ascii="宋体" w:hAnsi="宋体" w:hint="eastAsia"/>
                <w:szCs w:val="22"/>
              </w:rPr>
              <w:t>广场，广场面积不少于</w:t>
            </w:r>
            <w:r>
              <w:rPr>
                <w:rFonts w:ascii="宋体" w:hAnsi="宋体" w:hint="eastAsia"/>
                <w:szCs w:val="22"/>
              </w:rPr>
              <w:t>8</w:t>
            </w:r>
            <w:r>
              <w:rPr>
                <w:rFonts w:ascii="宋体" w:hAnsi="宋体"/>
                <w:szCs w:val="22"/>
              </w:rPr>
              <w:t>00</w:t>
            </w:r>
            <w:r w:rsidRPr="00F24DF8">
              <w:rPr>
                <w:rFonts w:ascii="宋体" w:hAnsi="宋体" w:hint="eastAsia"/>
                <w:szCs w:val="22"/>
              </w:rPr>
              <w:t>㎡</w:t>
            </w:r>
            <w:r>
              <w:rPr>
                <w:rFonts w:ascii="宋体" w:hAnsi="宋体" w:hint="eastAsia"/>
                <w:szCs w:val="22"/>
              </w:rPr>
              <w:t>，且向社会无偿开放</w:t>
            </w:r>
            <w:r w:rsidRPr="00535564">
              <w:rPr>
                <w:rFonts w:ascii="宋体" w:hAnsi="宋体" w:hint="eastAsia"/>
                <w:szCs w:val="22"/>
              </w:rPr>
              <w:t>。沿百花台路建筑立面采用公建立面。</w:t>
            </w:r>
          </w:p>
        </w:tc>
      </w:tr>
      <w:tr w:rsidR="008C7314" w14:paraId="3762BCD1" w14:textId="77777777" w:rsidTr="00204EFB">
        <w:trPr>
          <w:trHeight w:val="1691"/>
        </w:trPr>
        <w:tc>
          <w:tcPr>
            <w:tcW w:w="867" w:type="dxa"/>
            <w:vAlign w:val="center"/>
          </w:tcPr>
          <w:p w14:paraId="13E7C873" w14:textId="77777777" w:rsidR="008C7314" w:rsidRDefault="008C7314" w:rsidP="00701346">
            <w:pPr>
              <w:widowControl w:val="0"/>
              <w:jc w:val="center"/>
              <w:textAlignment w:val="auto"/>
              <w:rPr>
                <w:rFonts w:ascii="宋体"/>
              </w:rPr>
            </w:pPr>
            <w:r>
              <w:rPr>
                <w:rFonts w:ascii="宋体" w:hAnsi="宋体" w:hint="eastAsia"/>
                <w:szCs w:val="22"/>
              </w:rPr>
              <w:t>地块2</w:t>
            </w:r>
          </w:p>
        </w:tc>
        <w:tc>
          <w:tcPr>
            <w:tcW w:w="851" w:type="dxa"/>
            <w:vAlign w:val="center"/>
          </w:tcPr>
          <w:p w14:paraId="3E019F1F" w14:textId="77777777" w:rsidR="008C7314" w:rsidRDefault="008C7314" w:rsidP="00701346">
            <w:pPr>
              <w:widowControl w:val="0"/>
              <w:jc w:val="center"/>
              <w:textAlignment w:val="auto"/>
              <w:rPr>
                <w:rFonts w:ascii="宋体" w:hAnsi="宋体"/>
              </w:rPr>
            </w:pPr>
            <w:r>
              <w:rPr>
                <w:rFonts w:ascii="宋体" w:hAnsi="宋体" w:hint="eastAsia"/>
                <w:szCs w:val="22"/>
              </w:rPr>
              <w:t>59.</w:t>
            </w:r>
            <w:r>
              <w:rPr>
                <w:rFonts w:ascii="宋体" w:hAnsi="宋体"/>
                <w:szCs w:val="22"/>
              </w:rPr>
              <w:t>17</w:t>
            </w:r>
          </w:p>
        </w:tc>
        <w:tc>
          <w:tcPr>
            <w:tcW w:w="800" w:type="dxa"/>
            <w:vAlign w:val="center"/>
          </w:tcPr>
          <w:p w14:paraId="5F423CB4" w14:textId="77777777" w:rsidR="008C7314" w:rsidRDefault="008C7314" w:rsidP="00701346">
            <w:pPr>
              <w:widowControl w:val="0"/>
              <w:jc w:val="center"/>
              <w:textAlignment w:val="auto"/>
              <w:rPr>
                <w:rFonts w:ascii="宋体"/>
              </w:rPr>
            </w:pPr>
            <w:r>
              <w:rPr>
                <w:rFonts w:ascii="宋体" w:hAnsi="宋体" w:hint="eastAsia"/>
                <w:szCs w:val="22"/>
              </w:rPr>
              <w:t>居住</w:t>
            </w:r>
          </w:p>
        </w:tc>
        <w:tc>
          <w:tcPr>
            <w:tcW w:w="851" w:type="dxa"/>
            <w:vAlign w:val="center"/>
          </w:tcPr>
          <w:p w14:paraId="0B1FBA6F" w14:textId="77777777" w:rsidR="008C7314" w:rsidRDefault="008C7314" w:rsidP="00701346">
            <w:pPr>
              <w:widowControl w:val="0"/>
              <w:jc w:val="center"/>
              <w:textAlignment w:val="auto"/>
              <w:rPr>
                <w:rFonts w:ascii="宋体" w:hAnsi="宋体"/>
                <w:szCs w:val="22"/>
              </w:rPr>
            </w:pPr>
            <w:r>
              <w:rPr>
                <w:rFonts w:ascii="宋体" w:hAnsi="宋体"/>
                <w:szCs w:val="22"/>
              </w:rPr>
              <w:t>2.</w:t>
            </w:r>
            <w:r>
              <w:rPr>
                <w:rFonts w:ascii="宋体" w:hAnsi="宋体" w:hint="eastAsia"/>
                <w:szCs w:val="22"/>
              </w:rPr>
              <w:t>4</w:t>
            </w:r>
          </w:p>
          <w:p w14:paraId="5B3FDD29" w14:textId="77777777" w:rsidR="008C7314" w:rsidRPr="00972F1F" w:rsidRDefault="008C7314" w:rsidP="00701346">
            <w:pPr>
              <w:widowControl w:val="0"/>
              <w:jc w:val="center"/>
              <w:textAlignment w:val="auto"/>
              <w:rPr>
                <w:rFonts w:ascii="宋体" w:hAnsi="宋体"/>
                <w:szCs w:val="22"/>
              </w:rPr>
            </w:pPr>
            <w:r w:rsidRPr="00972F1F">
              <w:rPr>
                <w:rFonts w:ascii="宋体" w:hAnsi="宋体" w:hint="eastAsia"/>
                <w:szCs w:val="22"/>
              </w:rPr>
              <w:t>+</w:t>
            </w:r>
            <w:r w:rsidRPr="00972F1F">
              <w:rPr>
                <w:rFonts w:ascii="宋体" w:hAnsi="宋体"/>
                <w:szCs w:val="22"/>
              </w:rPr>
              <w:t>0.7</w:t>
            </w:r>
          </w:p>
        </w:tc>
        <w:tc>
          <w:tcPr>
            <w:tcW w:w="10518" w:type="dxa"/>
            <w:vAlign w:val="center"/>
          </w:tcPr>
          <w:p w14:paraId="3C144782" w14:textId="006F2864" w:rsidR="008C7314" w:rsidRPr="00535564" w:rsidRDefault="008C7314" w:rsidP="00701346">
            <w:pPr>
              <w:widowControl w:val="0"/>
              <w:textAlignment w:val="auto"/>
              <w:rPr>
                <w:rFonts w:ascii="宋体"/>
                <w:szCs w:val="22"/>
              </w:rPr>
            </w:pPr>
            <w:r w:rsidRPr="00535564">
              <w:rPr>
                <w:rFonts w:ascii="宋体" w:hAnsi="宋体" w:hint="eastAsia"/>
                <w:szCs w:val="22"/>
              </w:rPr>
              <w:t>容积率≤</w:t>
            </w:r>
            <w:r>
              <w:rPr>
                <w:rFonts w:ascii="宋体" w:hAnsi="宋体"/>
                <w:szCs w:val="22"/>
              </w:rPr>
              <w:t>3.1</w:t>
            </w:r>
            <w:r>
              <w:rPr>
                <w:rFonts w:ascii="宋体" w:hAnsi="宋体" w:hint="eastAsia"/>
                <w:szCs w:val="22"/>
              </w:rPr>
              <w:t>（其中0</w:t>
            </w:r>
            <w:r>
              <w:rPr>
                <w:rFonts w:ascii="宋体" w:hAnsi="宋体"/>
                <w:szCs w:val="22"/>
              </w:rPr>
              <w:t>.7</w:t>
            </w:r>
            <w:r>
              <w:rPr>
                <w:rFonts w:ascii="宋体" w:hAnsi="宋体" w:hint="eastAsia"/>
                <w:szCs w:val="22"/>
              </w:rPr>
              <w:t>容积率计容不计价且仅用于设置地上架空车库及设备用房）</w:t>
            </w:r>
            <w:r w:rsidRPr="00535564">
              <w:rPr>
                <w:rFonts w:ascii="宋体" w:hAnsi="宋体" w:hint="eastAsia"/>
                <w:szCs w:val="22"/>
              </w:rPr>
              <w:t>，建筑密度≤30%，建筑高度＜80m</w:t>
            </w:r>
            <w:r>
              <w:rPr>
                <w:rFonts w:ascii="宋体" w:hAnsi="宋体" w:hint="eastAsia"/>
                <w:szCs w:val="22"/>
              </w:rPr>
              <w:t>，</w:t>
            </w:r>
            <w:r w:rsidRPr="00535564">
              <w:rPr>
                <w:rFonts w:ascii="宋体" w:hAnsi="宋体" w:hint="eastAsia"/>
                <w:szCs w:val="22"/>
              </w:rPr>
              <w:t>计容总建筑面积≤</w:t>
            </w:r>
            <w:r>
              <w:rPr>
                <w:rFonts w:ascii="宋体" w:hAnsi="宋体"/>
                <w:szCs w:val="22"/>
              </w:rPr>
              <w:t>122280</w:t>
            </w:r>
            <w:r w:rsidRPr="00535564">
              <w:rPr>
                <w:rFonts w:ascii="宋体" w:hAnsi="宋体" w:hint="eastAsia"/>
                <w:szCs w:val="22"/>
              </w:rPr>
              <w:t>㎡</w:t>
            </w:r>
            <w:r>
              <w:rPr>
                <w:rFonts w:ascii="宋体" w:hAnsi="宋体" w:hint="eastAsia"/>
                <w:szCs w:val="22"/>
              </w:rPr>
              <w:t>（</w:t>
            </w:r>
            <w:r w:rsidRPr="00535564">
              <w:rPr>
                <w:rFonts w:ascii="宋体" w:hAnsi="宋体" w:hint="eastAsia"/>
                <w:szCs w:val="22"/>
              </w:rPr>
              <w:t>其中配套商业计容建筑面积不得超过</w:t>
            </w:r>
            <w:r>
              <w:rPr>
                <w:rFonts w:ascii="宋体" w:hAnsi="宋体"/>
                <w:szCs w:val="22"/>
              </w:rPr>
              <w:t>1890</w:t>
            </w:r>
            <w:r w:rsidRPr="00535564">
              <w:rPr>
                <w:rFonts w:ascii="宋体" w:hAnsi="宋体" w:hint="eastAsia"/>
                <w:szCs w:val="22"/>
              </w:rPr>
              <w:t>㎡</w:t>
            </w:r>
            <w:r>
              <w:rPr>
                <w:rFonts w:ascii="宋体" w:hAnsi="宋体" w:hint="eastAsia"/>
                <w:szCs w:val="22"/>
              </w:rPr>
              <w:t>，2</w:t>
            </w:r>
            <w:r>
              <w:rPr>
                <w:rFonts w:ascii="宋体" w:hAnsi="宋体"/>
                <w:szCs w:val="22"/>
              </w:rPr>
              <w:t>7612</w:t>
            </w:r>
            <w:r w:rsidRPr="00535564">
              <w:rPr>
                <w:rFonts w:ascii="宋体" w:hAnsi="宋体" w:hint="eastAsia"/>
                <w:szCs w:val="22"/>
              </w:rPr>
              <w:t>㎡</w:t>
            </w:r>
            <w:r>
              <w:rPr>
                <w:rFonts w:ascii="宋体" w:hAnsi="宋体" w:hint="eastAsia"/>
                <w:szCs w:val="22"/>
              </w:rPr>
              <w:t>计容面积仅用于设置地上架空车库及设备用房）</w:t>
            </w:r>
            <w:r w:rsidRPr="00535564">
              <w:rPr>
                <w:rFonts w:ascii="宋体" w:hAnsi="宋体" w:hint="eastAsia"/>
                <w:szCs w:val="22"/>
              </w:rPr>
              <w:t>，绿地率≥35%</w:t>
            </w:r>
            <w:r>
              <w:rPr>
                <w:rFonts w:ascii="宋体" w:hAnsi="宋体" w:hint="eastAsia"/>
                <w:szCs w:val="22"/>
              </w:rPr>
              <w:t>。</w:t>
            </w:r>
            <w:r w:rsidRPr="00535564">
              <w:rPr>
                <w:rFonts w:ascii="宋体" w:hAnsi="宋体" w:hint="eastAsia"/>
                <w:szCs w:val="22"/>
              </w:rPr>
              <w:t>须在靠甲山东路位置由</w:t>
            </w:r>
            <w:r>
              <w:rPr>
                <w:rFonts w:ascii="宋体" w:hAnsi="宋体" w:hint="eastAsia"/>
                <w:szCs w:val="22"/>
              </w:rPr>
              <w:t>土地</w:t>
            </w:r>
            <w:r w:rsidR="00305A1C">
              <w:rPr>
                <w:rFonts w:ascii="宋体" w:hAnsi="宋体" w:hint="eastAsia"/>
                <w:szCs w:val="22"/>
              </w:rPr>
              <w:t>买受人</w:t>
            </w:r>
            <w:r w:rsidRPr="00535564">
              <w:rPr>
                <w:rFonts w:ascii="宋体" w:hAnsi="宋体" w:hint="eastAsia"/>
                <w:szCs w:val="22"/>
              </w:rPr>
              <w:t>按《湖南省中小学校幼儿园规划建设条例》要求配套建设不少于六个班规划用地面积不少于4100㎡的幼儿园，建筑面积不少于2300㎡</w:t>
            </w:r>
            <w:r>
              <w:rPr>
                <w:rFonts w:ascii="宋体" w:hAnsi="宋体" w:hint="eastAsia"/>
                <w:szCs w:val="22"/>
              </w:rPr>
              <w:t>。幼儿园计容不计价，建成验收合格后无偿移交平江县城市建设投资服务中心。</w:t>
            </w:r>
          </w:p>
        </w:tc>
      </w:tr>
      <w:tr w:rsidR="008C7314" w14:paraId="1A7F8FF0" w14:textId="77777777" w:rsidTr="00204EFB">
        <w:trPr>
          <w:trHeight w:val="1119"/>
        </w:trPr>
        <w:tc>
          <w:tcPr>
            <w:tcW w:w="867" w:type="dxa"/>
            <w:vAlign w:val="center"/>
          </w:tcPr>
          <w:p w14:paraId="61F2791D" w14:textId="77777777" w:rsidR="008C7314" w:rsidRDefault="008C7314" w:rsidP="00701346">
            <w:pPr>
              <w:widowControl w:val="0"/>
              <w:jc w:val="center"/>
              <w:textAlignment w:val="auto"/>
              <w:rPr>
                <w:rFonts w:ascii="宋体"/>
              </w:rPr>
            </w:pPr>
            <w:r>
              <w:rPr>
                <w:rFonts w:ascii="宋体" w:hAnsi="宋体" w:hint="eastAsia"/>
                <w:szCs w:val="22"/>
              </w:rPr>
              <w:t>地块3</w:t>
            </w:r>
          </w:p>
        </w:tc>
        <w:tc>
          <w:tcPr>
            <w:tcW w:w="851" w:type="dxa"/>
            <w:vAlign w:val="center"/>
          </w:tcPr>
          <w:p w14:paraId="2E1D298C" w14:textId="77777777" w:rsidR="008C7314" w:rsidRDefault="008C7314" w:rsidP="00701346">
            <w:pPr>
              <w:widowControl w:val="0"/>
              <w:jc w:val="center"/>
              <w:textAlignment w:val="auto"/>
              <w:rPr>
                <w:rFonts w:ascii="宋体" w:hAnsi="宋体"/>
              </w:rPr>
            </w:pPr>
            <w:r>
              <w:rPr>
                <w:rFonts w:ascii="宋体" w:hAnsi="宋体" w:hint="eastAsia"/>
                <w:szCs w:val="22"/>
              </w:rPr>
              <w:t>34.04</w:t>
            </w:r>
          </w:p>
        </w:tc>
        <w:tc>
          <w:tcPr>
            <w:tcW w:w="800" w:type="dxa"/>
            <w:vAlign w:val="center"/>
          </w:tcPr>
          <w:p w14:paraId="2FCFBBCC" w14:textId="77777777" w:rsidR="008C7314" w:rsidRDefault="008C7314" w:rsidP="00701346">
            <w:pPr>
              <w:widowControl w:val="0"/>
              <w:jc w:val="center"/>
              <w:textAlignment w:val="auto"/>
              <w:rPr>
                <w:rFonts w:ascii="宋体"/>
              </w:rPr>
            </w:pPr>
            <w:r>
              <w:rPr>
                <w:rFonts w:ascii="宋体" w:hAnsi="宋体" w:hint="eastAsia"/>
                <w:szCs w:val="22"/>
              </w:rPr>
              <w:t>居住</w:t>
            </w:r>
          </w:p>
        </w:tc>
        <w:tc>
          <w:tcPr>
            <w:tcW w:w="851" w:type="dxa"/>
            <w:vAlign w:val="center"/>
          </w:tcPr>
          <w:p w14:paraId="4F645614" w14:textId="77777777" w:rsidR="008C7314" w:rsidRDefault="008C7314" w:rsidP="00701346">
            <w:pPr>
              <w:widowControl w:val="0"/>
              <w:jc w:val="center"/>
              <w:textAlignment w:val="auto"/>
              <w:rPr>
                <w:rFonts w:ascii="宋体" w:hAnsi="宋体"/>
                <w:szCs w:val="22"/>
              </w:rPr>
            </w:pPr>
            <w:r>
              <w:rPr>
                <w:rFonts w:ascii="宋体" w:hAnsi="宋体" w:hint="eastAsia"/>
                <w:szCs w:val="22"/>
              </w:rPr>
              <w:t>1.8</w:t>
            </w:r>
          </w:p>
          <w:p w14:paraId="5747165B" w14:textId="77777777" w:rsidR="008C7314" w:rsidRDefault="008C7314" w:rsidP="00701346">
            <w:pPr>
              <w:widowControl w:val="0"/>
              <w:jc w:val="center"/>
              <w:textAlignment w:val="auto"/>
              <w:rPr>
                <w:rFonts w:ascii="宋体" w:hAnsi="宋体"/>
              </w:rPr>
            </w:pPr>
            <w:r>
              <w:rPr>
                <w:rFonts w:ascii="宋体" w:hAnsi="宋体"/>
                <w:szCs w:val="22"/>
              </w:rPr>
              <w:t>+0.7</w:t>
            </w:r>
          </w:p>
        </w:tc>
        <w:tc>
          <w:tcPr>
            <w:tcW w:w="10518" w:type="dxa"/>
            <w:vAlign w:val="center"/>
          </w:tcPr>
          <w:p w14:paraId="5D3179C6" w14:textId="77777777" w:rsidR="008C7314" w:rsidRPr="00535564" w:rsidRDefault="008C7314" w:rsidP="00701346">
            <w:pPr>
              <w:widowControl w:val="0"/>
              <w:jc w:val="left"/>
              <w:textAlignment w:val="auto"/>
              <w:rPr>
                <w:rFonts w:ascii="宋体"/>
                <w:szCs w:val="22"/>
              </w:rPr>
            </w:pPr>
            <w:r w:rsidRPr="00535564">
              <w:rPr>
                <w:rFonts w:ascii="宋体" w:hAnsi="宋体" w:hint="eastAsia"/>
                <w:szCs w:val="22"/>
              </w:rPr>
              <w:t>容积率≤</w:t>
            </w:r>
            <w:r>
              <w:rPr>
                <w:rFonts w:ascii="宋体" w:hAnsi="宋体"/>
                <w:szCs w:val="22"/>
              </w:rPr>
              <w:t>2.5</w:t>
            </w:r>
            <w:r w:rsidRPr="00535564">
              <w:rPr>
                <w:rFonts w:ascii="宋体" w:hAnsi="宋体" w:hint="eastAsia"/>
                <w:szCs w:val="22"/>
              </w:rPr>
              <w:t>（</w:t>
            </w:r>
            <w:r>
              <w:rPr>
                <w:rFonts w:ascii="宋体" w:hAnsi="宋体" w:hint="eastAsia"/>
                <w:szCs w:val="22"/>
              </w:rPr>
              <w:t>其中</w:t>
            </w:r>
            <w:r w:rsidRPr="00535564">
              <w:rPr>
                <w:rFonts w:ascii="宋体" w:hAnsi="宋体" w:hint="eastAsia"/>
                <w:szCs w:val="22"/>
              </w:rPr>
              <w:t>0.7</w:t>
            </w:r>
            <w:r>
              <w:rPr>
                <w:rFonts w:ascii="宋体" w:hAnsi="宋体" w:hint="eastAsia"/>
                <w:szCs w:val="22"/>
              </w:rPr>
              <w:t>容积率</w:t>
            </w:r>
            <w:r w:rsidRPr="00535564">
              <w:rPr>
                <w:rFonts w:ascii="宋体" w:hAnsi="宋体" w:hint="eastAsia"/>
                <w:szCs w:val="22"/>
              </w:rPr>
              <w:t>计容</w:t>
            </w:r>
            <w:r>
              <w:rPr>
                <w:rFonts w:ascii="宋体" w:hAnsi="宋体" w:hint="eastAsia"/>
                <w:szCs w:val="22"/>
              </w:rPr>
              <w:t>不计价且</w:t>
            </w:r>
            <w:r w:rsidRPr="00535564">
              <w:rPr>
                <w:rFonts w:ascii="宋体" w:hAnsi="宋体" w:hint="eastAsia"/>
                <w:szCs w:val="22"/>
              </w:rPr>
              <w:t>仅用于设置地上架空车库及设备用房），建筑密度≤30%，建筑高度≤54m</w:t>
            </w:r>
            <w:r>
              <w:rPr>
                <w:rFonts w:ascii="宋体" w:hAnsi="宋体" w:hint="eastAsia"/>
                <w:szCs w:val="22"/>
              </w:rPr>
              <w:t>，</w:t>
            </w:r>
            <w:r w:rsidRPr="00535564">
              <w:rPr>
                <w:rFonts w:ascii="宋体" w:hAnsi="宋体" w:hint="eastAsia"/>
                <w:szCs w:val="22"/>
              </w:rPr>
              <w:t>计容总建筑面积≤</w:t>
            </w:r>
            <w:r>
              <w:rPr>
                <w:rFonts w:ascii="宋体" w:hAnsi="宋体"/>
                <w:szCs w:val="22"/>
              </w:rPr>
              <w:t>56738</w:t>
            </w:r>
            <w:r w:rsidRPr="00535564">
              <w:rPr>
                <w:rFonts w:ascii="宋体" w:hAnsi="宋体" w:hint="eastAsia"/>
                <w:szCs w:val="22"/>
              </w:rPr>
              <w:t>㎡</w:t>
            </w:r>
            <w:r>
              <w:rPr>
                <w:rFonts w:ascii="宋体" w:hAnsi="宋体" w:hint="eastAsia"/>
                <w:szCs w:val="22"/>
              </w:rPr>
              <w:t>（</w:t>
            </w:r>
            <w:r w:rsidRPr="00535564">
              <w:rPr>
                <w:rFonts w:ascii="宋体" w:hAnsi="宋体" w:hint="eastAsia"/>
                <w:szCs w:val="22"/>
              </w:rPr>
              <w:t>其中配套商业计容建筑面积不得超过</w:t>
            </w:r>
            <w:r>
              <w:rPr>
                <w:rFonts w:ascii="宋体" w:hAnsi="宋体"/>
                <w:szCs w:val="22"/>
              </w:rPr>
              <w:t>820</w:t>
            </w:r>
            <w:r w:rsidRPr="002D5F91">
              <w:rPr>
                <w:rFonts w:ascii="宋体" w:hAnsi="宋体" w:hint="eastAsia"/>
                <w:szCs w:val="22"/>
              </w:rPr>
              <w:t>㎡</w:t>
            </w:r>
            <w:r>
              <w:rPr>
                <w:rFonts w:ascii="宋体" w:hAnsi="宋体" w:hint="eastAsia"/>
                <w:szCs w:val="22"/>
              </w:rPr>
              <w:t>，1</w:t>
            </w:r>
            <w:r>
              <w:rPr>
                <w:rFonts w:ascii="宋体" w:hAnsi="宋体"/>
                <w:szCs w:val="22"/>
              </w:rPr>
              <w:t>5887</w:t>
            </w:r>
            <w:r w:rsidRPr="002D5F91">
              <w:rPr>
                <w:rFonts w:ascii="宋体" w:hAnsi="宋体" w:hint="eastAsia"/>
                <w:szCs w:val="22"/>
              </w:rPr>
              <w:t>㎡计容面积仅用于设置地上架空车库及设备用房</w:t>
            </w:r>
            <w:r>
              <w:rPr>
                <w:rFonts w:ascii="宋体" w:hAnsi="宋体" w:hint="eastAsia"/>
                <w:szCs w:val="22"/>
              </w:rPr>
              <w:t>）</w:t>
            </w:r>
            <w:r w:rsidRPr="00535564">
              <w:rPr>
                <w:rFonts w:ascii="宋体" w:hAnsi="宋体" w:hint="eastAsia"/>
                <w:szCs w:val="22"/>
              </w:rPr>
              <w:t>，绿地率≥35%</w:t>
            </w:r>
            <w:r>
              <w:rPr>
                <w:rFonts w:ascii="宋体" w:hAnsi="宋体" w:hint="eastAsia"/>
                <w:szCs w:val="22"/>
              </w:rPr>
              <w:t>。</w:t>
            </w:r>
          </w:p>
        </w:tc>
      </w:tr>
      <w:tr w:rsidR="008C7314" w14:paraId="485C714C" w14:textId="77777777" w:rsidTr="00204EFB">
        <w:trPr>
          <w:trHeight w:val="1133"/>
        </w:trPr>
        <w:tc>
          <w:tcPr>
            <w:tcW w:w="867" w:type="dxa"/>
            <w:vAlign w:val="center"/>
          </w:tcPr>
          <w:p w14:paraId="2AC1B857" w14:textId="77777777" w:rsidR="008C7314" w:rsidRDefault="008C7314" w:rsidP="00701346">
            <w:pPr>
              <w:widowControl w:val="0"/>
              <w:jc w:val="center"/>
              <w:textAlignment w:val="auto"/>
              <w:rPr>
                <w:rFonts w:ascii="宋体"/>
              </w:rPr>
            </w:pPr>
            <w:r>
              <w:rPr>
                <w:rFonts w:ascii="宋体" w:hAnsi="宋体" w:hint="eastAsia"/>
                <w:szCs w:val="22"/>
              </w:rPr>
              <w:t>地块4</w:t>
            </w:r>
          </w:p>
        </w:tc>
        <w:tc>
          <w:tcPr>
            <w:tcW w:w="851" w:type="dxa"/>
            <w:vAlign w:val="center"/>
          </w:tcPr>
          <w:p w14:paraId="64C9A663" w14:textId="77777777" w:rsidR="008C7314" w:rsidRDefault="008C7314" w:rsidP="00701346">
            <w:pPr>
              <w:widowControl w:val="0"/>
              <w:jc w:val="center"/>
              <w:textAlignment w:val="auto"/>
              <w:rPr>
                <w:rFonts w:ascii="宋体" w:hAnsi="宋体"/>
              </w:rPr>
            </w:pPr>
            <w:r>
              <w:rPr>
                <w:rFonts w:ascii="宋体" w:hAnsi="宋体" w:hint="eastAsia"/>
                <w:szCs w:val="22"/>
              </w:rPr>
              <w:t>37.28</w:t>
            </w:r>
          </w:p>
        </w:tc>
        <w:tc>
          <w:tcPr>
            <w:tcW w:w="800" w:type="dxa"/>
            <w:vAlign w:val="center"/>
          </w:tcPr>
          <w:p w14:paraId="27011A6E" w14:textId="77777777" w:rsidR="008C7314" w:rsidRDefault="008C7314" w:rsidP="00701346">
            <w:pPr>
              <w:widowControl w:val="0"/>
              <w:jc w:val="center"/>
              <w:textAlignment w:val="auto"/>
              <w:rPr>
                <w:rFonts w:ascii="宋体"/>
              </w:rPr>
            </w:pPr>
            <w:r>
              <w:rPr>
                <w:rFonts w:ascii="宋体" w:hAnsi="宋体" w:hint="eastAsia"/>
                <w:szCs w:val="22"/>
              </w:rPr>
              <w:t>居住</w:t>
            </w:r>
          </w:p>
        </w:tc>
        <w:tc>
          <w:tcPr>
            <w:tcW w:w="851" w:type="dxa"/>
            <w:vAlign w:val="center"/>
          </w:tcPr>
          <w:p w14:paraId="705FA81A" w14:textId="77777777" w:rsidR="008C7314" w:rsidRDefault="008C7314" w:rsidP="00701346">
            <w:pPr>
              <w:widowControl w:val="0"/>
              <w:jc w:val="center"/>
              <w:textAlignment w:val="auto"/>
              <w:rPr>
                <w:rFonts w:ascii="宋体" w:hAnsi="宋体"/>
                <w:szCs w:val="22"/>
              </w:rPr>
            </w:pPr>
            <w:r>
              <w:rPr>
                <w:rFonts w:ascii="宋体" w:hAnsi="宋体" w:hint="eastAsia"/>
                <w:szCs w:val="22"/>
              </w:rPr>
              <w:t>2.2</w:t>
            </w:r>
          </w:p>
          <w:p w14:paraId="20C0EBDA" w14:textId="77777777" w:rsidR="008C7314" w:rsidRDefault="008C7314" w:rsidP="00701346">
            <w:pPr>
              <w:widowControl w:val="0"/>
              <w:jc w:val="center"/>
              <w:textAlignment w:val="auto"/>
              <w:rPr>
                <w:rFonts w:ascii="宋体" w:hAnsi="宋体"/>
              </w:rPr>
            </w:pPr>
            <w:r>
              <w:rPr>
                <w:rFonts w:ascii="宋体" w:hAnsi="宋体"/>
                <w:szCs w:val="22"/>
              </w:rPr>
              <w:t>+0.7</w:t>
            </w:r>
          </w:p>
        </w:tc>
        <w:tc>
          <w:tcPr>
            <w:tcW w:w="10518" w:type="dxa"/>
            <w:vAlign w:val="center"/>
          </w:tcPr>
          <w:p w14:paraId="2424CE28" w14:textId="77777777" w:rsidR="008C7314" w:rsidRPr="00535564" w:rsidRDefault="008C7314" w:rsidP="00701346">
            <w:pPr>
              <w:widowControl w:val="0"/>
              <w:jc w:val="left"/>
              <w:textAlignment w:val="auto"/>
              <w:rPr>
                <w:rFonts w:ascii="宋体"/>
                <w:szCs w:val="22"/>
              </w:rPr>
            </w:pPr>
            <w:r w:rsidRPr="00535564">
              <w:rPr>
                <w:rFonts w:ascii="宋体" w:hAnsi="宋体" w:hint="eastAsia"/>
                <w:szCs w:val="22"/>
              </w:rPr>
              <w:t>容积率≤</w:t>
            </w:r>
            <w:r>
              <w:rPr>
                <w:rFonts w:ascii="宋体" w:hAnsi="宋体"/>
                <w:szCs w:val="22"/>
              </w:rPr>
              <w:t>2.9</w:t>
            </w:r>
            <w:r w:rsidRPr="002D5F91">
              <w:rPr>
                <w:rFonts w:ascii="宋体" w:hAnsi="宋体" w:hint="eastAsia"/>
                <w:szCs w:val="22"/>
              </w:rPr>
              <w:t>（其中0.7容积率计容不计价且仅用于设置地上架空车库及设备用房）</w:t>
            </w:r>
            <w:r w:rsidRPr="00535564">
              <w:rPr>
                <w:rFonts w:ascii="宋体" w:hAnsi="宋体" w:hint="eastAsia"/>
                <w:szCs w:val="22"/>
              </w:rPr>
              <w:t>，建筑密度≤30%，建筑高度≤54m</w:t>
            </w:r>
            <w:r>
              <w:rPr>
                <w:rFonts w:ascii="宋体" w:hAnsi="宋体" w:hint="eastAsia"/>
                <w:szCs w:val="22"/>
              </w:rPr>
              <w:t>，</w:t>
            </w:r>
            <w:r w:rsidRPr="00535564">
              <w:rPr>
                <w:rFonts w:ascii="宋体" w:hAnsi="宋体" w:hint="eastAsia"/>
                <w:szCs w:val="22"/>
              </w:rPr>
              <w:t>计容总建筑面积≤</w:t>
            </w:r>
            <w:r>
              <w:rPr>
                <w:rFonts w:ascii="宋体" w:hAnsi="宋体"/>
                <w:szCs w:val="22"/>
              </w:rPr>
              <w:t>72077</w:t>
            </w:r>
            <w:r w:rsidRPr="001071F0">
              <w:rPr>
                <w:rFonts w:ascii="宋体" w:hAnsi="宋体" w:hint="eastAsia"/>
                <w:szCs w:val="22"/>
              </w:rPr>
              <w:t>㎡（其中配套商业计容建筑面积不得超过</w:t>
            </w:r>
            <w:r>
              <w:rPr>
                <w:rFonts w:ascii="宋体" w:hAnsi="宋体"/>
                <w:szCs w:val="22"/>
              </w:rPr>
              <w:t>1095</w:t>
            </w:r>
            <w:r w:rsidRPr="001071F0">
              <w:rPr>
                <w:rFonts w:ascii="宋体" w:hAnsi="宋体" w:hint="eastAsia"/>
                <w:szCs w:val="22"/>
              </w:rPr>
              <w:t>㎡，</w:t>
            </w:r>
            <w:r>
              <w:rPr>
                <w:rFonts w:ascii="宋体" w:hAnsi="宋体"/>
                <w:szCs w:val="22"/>
              </w:rPr>
              <w:t>17398</w:t>
            </w:r>
            <w:r w:rsidRPr="001071F0">
              <w:rPr>
                <w:rFonts w:ascii="宋体" w:hAnsi="宋体" w:hint="eastAsia"/>
                <w:szCs w:val="22"/>
              </w:rPr>
              <w:t>㎡计容面积仅用于设置地上架空车库及设备用房），绿地率≥35%。</w:t>
            </w:r>
          </w:p>
        </w:tc>
      </w:tr>
      <w:tr w:rsidR="008C7314" w14:paraId="11BCBEA7" w14:textId="77777777" w:rsidTr="00204EFB">
        <w:trPr>
          <w:trHeight w:val="833"/>
        </w:trPr>
        <w:tc>
          <w:tcPr>
            <w:tcW w:w="867" w:type="dxa"/>
            <w:vAlign w:val="center"/>
          </w:tcPr>
          <w:p w14:paraId="1D735CBC" w14:textId="77777777" w:rsidR="008C7314" w:rsidRDefault="008C7314" w:rsidP="00701346">
            <w:pPr>
              <w:widowControl w:val="0"/>
              <w:spacing w:line="400" w:lineRule="exact"/>
              <w:jc w:val="center"/>
              <w:textAlignment w:val="auto"/>
              <w:rPr>
                <w:rFonts w:ascii="宋体"/>
                <w:b/>
                <w:bCs/>
              </w:rPr>
            </w:pPr>
            <w:r>
              <w:rPr>
                <w:rFonts w:ascii="宋体" w:hAnsi="宋体" w:hint="eastAsia"/>
                <w:b/>
                <w:bCs/>
                <w:szCs w:val="22"/>
              </w:rPr>
              <w:t>合 计</w:t>
            </w:r>
          </w:p>
        </w:tc>
        <w:tc>
          <w:tcPr>
            <w:tcW w:w="851" w:type="dxa"/>
            <w:vAlign w:val="center"/>
          </w:tcPr>
          <w:p w14:paraId="6DB94FE4" w14:textId="77777777" w:rsidR="008C7314" w:rsidRDefault="008C7314" w:rsidP="00701346">
            <w:pPr>
              <w:widowControl w:val="0"/>
              <w:spacing w:line="400" w:lineRule="exact"/>
              <w:jc w:val="center"/>
              <w:textAlignment w:val="auto"/>
              <w:rPr>
                <w:rFonts w:ascii="宋体" w:hAnsi="宋体"/>
                <w:b/>
                <w:bCs/>
              </w:rPr>
            </w:pPr>
            <w:r>
              <w:rPr>
                <w:rFonts w:ascii="宋体" w:hAnsi="宋体" w:hint="eastAsia"/>
                <w:b/>
                <w:bCs/>
                <w:szCs w:val="22"/>
              </w:rPr>
              <w:t>142.</w:t>
            </w:r>
            <w:r>
              <w:rPr>
                <w:rFonts w:ascii="宋体" w:hAnsi="宋体"/>
                <w:b/>
                <w:bCs/>
                <w:szCs w:val="22"/>
              </w:rPr>
              <w:t>49</w:t>
            </w:r>
          </w:p>
        </w:tc>
        <w:tc>
          <w:tcPr>
            <w:tcW w:w="800" w:type="dxa"/>
            <w:vAlign w:val="center"/>
          </w:tcPr>
          <w:p w14:paraId="793AD57C" w14:textId="77777777" w:rsidR="008C7314" w:rsidRDefault="008C7314" w:rsidP="00701346">
            <w:pPr>
              <w:widowControl w:val="0"/>
              <w:spacing w:line="400" w:lineRule="exact"/>
              <w:jc w:val="center"/>
              <w:textAlignment w:val="auto"/>
              <w:rPr>
                <w:rFonts w:ascii="宋体" w:hAnsi="宋体"/>
                <w:b/>
                <w:bCs/>
              </w:rPr>
            </w:pPr>
          </w:p>
        </w:tc>
        <w:tc>
          <w:tcPr>
            <w:tcW w:w="851" w:type="dxa"/>
            <w:vAlign w:val="center"/>
          </w:tcPr>
          <w:p w14:paraId="611CF965" w14:textId="77777777" w:rsidR="008C7314" w:rsidRDefault="008C7314" w:rsidP="00701346">
            <w:pPr>
              <w:widowControl w:val="0"/>
              <w:spacing w:line="400" w:lineRule="exact"/>
              <w:jc w:val="center"/>
              <w:textAlignment w:val="auto"/>
              <w:rPr>
                <w:rFonts w:ascii="宋体" w:hAnsi="宋体"/>
                <w:b/>
                <w:bCs/>
              </w:rPr>
            </w:pPr>
          </w:p>
        </w:tc>
        <w:tc>
          <w:tcPr>
            <w:tcW w:w="10518" w:type="dxa"/>
            <w:vAlign w:val="center"/>
          </w:tcPr>
          <w:p w14:paraId="2F988191" w14:textId="77777777" w:rsidR="008C7314" w:rsidRDefault="008C7314" w:rsidP="00701346">
            <w:pPr>
              <w:widowControl w:val="0"/>
              <w:spacing w:line="400" w:lineRule="exact"/>
              <w:jc w:val="left"/>
              <w:textAlignment w:val="auto"/>
              <w:rPr>
                <w:rFonts w:ascii="宋体"/>
                <w:b/>
                <w:bCs/>
              </w:rPr>
            </w:pPr>
          </w:p>
        </w:tc>
      </w:tr>
    </w:tbl>
    <w:p w14:paraId="7849FAEB" w14:textId="77777777" w:rsidR="00854D8D" w:rsidRPr="00204EFB" w:rsidRDefault="00854D8D" w:rsidP="00204EFB">
      <w:pPr>
        <w:pStyle w:val="a4"/>
        <w:ind w:firstLineChars="0" w:firstLine="0"/>
        <w:rPr>
          <w:rFonts w:ascii="仿宋_GB2312" w:eastAsia="仿宋_GB2312"/>
          <w:sz w:val="13"/>
          <w:szCs w:val="15"/>
        </w:rPr>
      </w:pPr>
    </w:p>
    <w:sectPr w:rsidR="00854D8D" w:rsidRPr="00204EFB" w:rsidSect="00854D8D">
      <w:headerReference w:type="default" r:id="rId12"/>
      <w:footerReference w:type="default" r:id="rId13"/>
      <w:footerReference w:type="first" r:id="rId14"/>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B666" w14:textId="77777777" w:rsidR="009F4F13" w:rsidRDefault="009F4F13">
      <w:r>
        <w:separator/>
      </w:r>
    </w:p>
  </w:endnote>
  <w:endnote w:type="continuationSeparator" w:id="0">
    <w:p w14:paraId="4D6B150B" w14:textId="77777777" w:rsidR="009F4F13" w:rsidRDefault="009F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简标宋">
    <w:altName w:val="宋体"/>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F9FD" w14:textId="77777777" w:rsidR="00661990" w:rsidRDefault="00661990">
    <w:pPr>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- 7 -</w:t>
    </w:r>
    <w:r>
      <w:rPr>
        <w:rStyle w:val="ab"/>
      </w:rPr>
      <w:fldChar w:fldCharType="end"/>
    </w:r>
  </w:p>
  <w:p w14:paraId="752A19A7" w14:textId="77777777" w:rsidR="00661990" w:rsidRDefault="006619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3313" w14:textId="77777777" w:rsidR="00661990" w:rsidRDefault="00661990">
    <w:r>
      <w:rPr>
        <w:noProof/>
      </w:rPr>
      <mc:AlternateContent>
        <mc:Choice Requires="wps">
          <w:drawing>
            <wp:anchor distT="0" distB="0" distL="114300" distR="114300" simplePos="0" relativeHeight="251669504" behindDoc="0" locked="0" layoutInCell="1" allowOverlap="1" wp14:anchorId="6B635C06" wp14:editId="5DCE4E69">
              <wp:simplePos x="0" y="0"/>
              <wp:positionH relativeFrom="margin">
                <wp:align>center</wp:align>
              </wp:positionH>
              <wp:positionV relativeFrom="paragraph">
                <wp:posOffset>0</wp:posOffset>
              </wp:positionV>
              <wp:extent cx="254000" cy="1752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75260"/>
                      </a:xfrm>
                      <a:prstGeom prst="rect">
                        <a:avLst/>
                      </a:prstGeom>
                      <a:noFill/>
                      <a:ln w="6350">
                        <a:noFill/>
                      </a:ln>
                      <a:effectLst/>
                    </wps:spPr>
                    <wps:txbx>
                      <w:txbxContent>
                        <w:p w14:paraId="4427A29F" w14:textId="77777777" w:rsidR="00661990" w:rsidRDefault="00661990">
                          <w:pP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B635C06" id="_x0000_t202" coordsize="21600,21600" o:spt="202" path="m,l,21600r21600,l21600,xe">
              <v:stroke joinstyle="miter"/>
              <v:path gradientshapeok="t" o:connecttype="rect"/>
            </v:shapetype>
            <v:shape id="文本框 3" o:spid="_x0000_s1026" type="#_x0000_t202" style="position:absolute;left:0;text-align:left;margin-left:0;margin-top:0;width:20pt;height:13.8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" filled="f" stroked="f" strokeweight=".5pt">
              <v:textbox style="mso-fit-shape-to-text:t" inset="0,0,0,0">
                <w:txbxContent>
                  <w:p w14:paraId="4427A29F" w14:textId="77777777" w:rsidR="00661990" w:rsidRDefault="00661990">
                    <w:pP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- 2 -</w:t>
                    </w:r>
                    <w:r>
                      <w:rPr>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3A8A" w14:textId="77777777" w:rsidR="00661990" w:rsidRPr="00507CE3" w:rsidRDefault="00661990" w:rsidP="00507CE3">
    <w:r>
      <w:rPr>
        <w:noProof/>
        <w:szCs w:val="18"/>
      </w:rPr>
      <mc:AlternateContent>
        <mc:Choice Requires="wps">
          <w:drawing>
            <wp:anchor distT="0" distB="0" distL="114300" distR="114300" simplePos="0" relativeHeight="251670528" behindDoc="0" locked="0" layoutInCell="1" allowOverlap="1" wp14:anchorId="4EA2F247" wp14:editId="5C35695B">
              <wp:simplePos x="0" y="0"/>
              <wp:positionH relativeFrom="margin">
                <wp:align>center</wp:align>
              </wp:positionH>
              <wp:positionV relativeFrom="paragraph">
                <wp:posOffset>0</wp:posOffset>
              </wp:positionV>
              <wp:extent cx="254000" cy="17526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75260"/>
                      </a:xfrm>
                      <a:prstGeom prst="rect">
                        <a:avLst/>
                      </a:prstGeom>
                      <a:noFill/>
                      <a:ln w="6350">
                        <a:noFill/>
                      </a:ln>
                      <a:effectLst/>
                    </wps:spPr>
                    <wps:txbx>
                      <w:txbxContent>
                        <w:p w14:paraId="3F9694B7" w14:textId="77777777" w:rsidR="00661990" w:rsidRPr="00507CE3" w:rsidRDefault="00661990" w:rsidP="00507CE3">
                          <w:pPr>
                            <w:rPr>
                              <w:rStyle w:val="ab"/>
                              <w:sz w:val="24"/>
                              <w:szCs w:val="24"/>
                            </w:rPr>
                          </w:pPr>
                          <w:r w:rsidRPr="00507CE3">
                            <w:rPr>
                              <w:rStyle w:val="ab"/>
                              <w:sz w:val="24"/>
                              <w:szCs w:val="24"/>
                            </w:rPr>
                            <w:fldChar w:fldCharType="begin"/>
                          </w:r>
                          <w:r w:rsidRPr="00507CE3">
                            <w:rPr>
                              <w:rStyle w:val="ab"/>
                              <w:sz w:val="24"/>
                              <w:szCs w:val="24"/>
                            </w:rPr>
                            <w:instrText xml:space="preserve"> PAGE  \* MERGEFORMAT </w:instrText>
                          </w:r>
                          <w:r w:rsidRPr="00507CE3">
                            <w:rPr>
                              <w:rStyle w:val="ab"/>
                              <w:sz w:val="24"/>
                              <w:szCs w:val="24"/>
                            </w:rPr>
                            <w:fldChar w:fldCharType="separate"/>
                          </w:r>
                          <w:r>
                            <w:rPr>
                              <w:rStyle w:val="ab"/>
                              <w:noProof/>
                              <w:sz w:val="24"/>
                              <w:szCs w:val="24"/>
                            </w:rPr>
                            <w:t>- 1 -</w:t>
                          </w:r>
                          <w:r w:rsidRPr="00507CE3">
                            <w:rPr>
                              <w:rStyle w:val="ab"/>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EA2F247" id="_x0000_t202" coordsize="21600,21600" o:spt="202" path="m,l,21600r21600,l21600,xe">
              <v:stroke joinstyle="miter"/>
              <v:path gradientshapeok="t" o:connecttype="rect"/>
            </v:shapetype>
            <v:shape id="文本框 5" o:spid="_x0000_s1027" type="#_x0000_t202" style="position:absolute;left:0;text-align:left;margin-left:0;margin-top:0;width:20pt;height:13.8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" filled="f" stroked="f" strokeweight=".5pt">
              <v:textbox style="mso-fit-shape-to-text:t" inset="0,0,0,0">
                <w:txbxContent>
                  <w:p w14:paraId="3F9694B7" w14:textId="77777777" w:rsidR="00661990" w:rsidRPr="00507CE3" w:rsidRDefault="00661990" w:rsidP="00507CE3">
                    <w:pPr>
                      <w:rPr>
                        <w:rStyle w:val="ab"/>
                        <w:sz w:val="24"/>
                        <w:szCs w:val="24"/>
                      </w:rPr>
                    </w:pPr>
                    <w:r w:rsidRPr="00507CE3">
                      <w:rPr>
                        <w:rStyle w:val="ab"/>
                        <w:sz w:val="24"/>
                        <w:szCs w:val="24"/>
                      </w:rPr>
                      <w:fldChar w:fldCharType="begin"/>
                    </w:r>
                    <w:r w:rsidRPr="00507CE3">
                      <w:rPr>
                        <w:rStyle w:val="ab"/>
                        <w:sz w:val="24"/>
                        <w:szCs w:val="24"/>
                      </w:rPr>
                      <w:instrText xml:space="preserve"> PAGE  \* MERGEFORMAT </w:instrText>
                    </w:r>
                    <w:r w:rsidRPr="00507CE3">
                      <w:rPr>
                        <w:rStyle w:val="ab"/>
                        <w:sz w:val="24"/>
                        <w:szCs w:val="24"/>
                      </w:rPr>
                      <w:fldChar w:fldCharType="separate"/>
                    </w:r>
                    <w:r>
                      <w:rPr>
                        <w:rStyle w:val="ab"/>
                        <w:noProof/>
                        <w:sz w:val="24"/>
                        <w:szCs w:val="24"/>
                      </w:rPr>
                      <w:t>- 1 -</w:t>
                    </w:r>
                    <w:r w:rsidRPr="00507CE3">
                      <w:rPr>
                        <w:rStyle w:val="ab"/>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3D00" w14:textId="5EA0D854" w:rsidR="001430A3" w:rsidRDefault="00BD4F1C">
    <w:pPr>
      <w:rPr>
        <w:rStyle w:val="NormalCharacter"/>
      </w:rPr>
    </w:pPr>
    <w:r>
      <w:rPr>
        <w:noProof/>
      </w:rPr>
      <mc:AlternateContent>
        <mc:Choice Requires="wps">
          <w:drawing>
            <wp:anchor distT="0" distB="0" distL="114300" distR="114300" simplePos="0" relativeHeight="251661312" behindDoc="0" locked="0" layoutInCell="1" allowOverlap="1" wp14:anchorId="18E897E9" wp14:editId="6416ED77">
              <wp:simplePos x="0" y="0"/>
              <wp:positionH relativeFrom="margin">
                <wp:align>center</wp:align>
              </wp:positionH>
              <wp:positionV relativeFrom="paragraph">
                <wp:posOffset>0</wp:posOffset>
              </wp:positionV>
              <wp:extent cx="254000"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7EC1C" w14:textId="77777777" w:rsidR="001430A3" w:rsidRPr="0005162D" w:rsidRDefault="00894ED8">
                          <w:pPr>
                            <w:rPr>
                              <w:sz w:val="24"/>
                              <w:szCs w:val="24"/>
                            </w:rPr>
                          </w:pPr>
                          <w:r w:rsidRPr="0005162D">
                            <w:rPr>
                              <w:sz w:val="24"/>
                              <w:szCs w:val="24"/>
                            </w:rPr>
                            <w:fldChar w:fldCharType="begin"/>
                          </w:r>
                          <w:r w:rsidR="00B22C12" w:rsidRPr="0005162D">
                            <w:rPr>
                              <w:sz w:val="24"/>
                              <w:szCs w:val="24"/>
                            </w:rPr>
                            <w:instrText xml:space="preserve"> PAGE  \* MERGEFORMAT </w:instrText>
                          </w:r>
                          <w:r w:rsidRPr="0005162D">
                            <w:rPr>
                              <w:sz w:val="24"/>
                              <w:szCs w:val="24"/>
                            </w:rPr>
                            <w:fldChar w:fldCharType="separate"/>
                          </w:r>
                          <w:r w:rsidR="00507CE3">
                            <w:rPr>
                              <w:noProof/>
                              <w:sz w:val="24"/>
                              <w:szCs w:val="24"/>
                            </w:rPr>
                            <w:t>- 8 -</w:t>
                          </w:r>
                          <w:r w:rsidRPr="0005162D">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8E897E9" id="_x0000_t202" coordsize="21600,21600" o:spt="202" path="m,l,21600r21600,l21600,xe">
              <v:stroke joinstyle="miter"/>
              <v:path gradientshapeok="t" o:connecttype="rect"/>
            </v:shapetype>
            <v:shape id="文本框 1" o:spid="_x0000_s1028" type="#_x0000_t202" style="position:absolute;left:0;text-align:left;margin-left:0;margin-top:0;width:20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" filled="f" stroked="f" strokeweight=".5pt">
              <v:textbox style="mso-fit-shape-to-text:t" inset="0,0,0,0">
                <w:txbxContent>
                  <w:p w14:paraId="69D7EC1C" w14:textId="77777777" w:rsidR="001430A3" w:rsidRPr="0005162D" w:rsidRDefault="00894ED8">
                    <w:pPr>
                      <w:rPr>
                        <w:sz w:val="24"/>
                        <w:szCs w:val="24"/>
                      </w:rPr>
                    </w:pPr>
                    <w:r w:rsidRPr="0005162D">
                      <w:rPr>
                        <w:sz w:val="24"/>
                        <w:szCs w:val="24"/>
                      </w:rPr>
                      <w:fldChar w:fldCharType="begin"/>
                    </w:r>
                    <w:r w:rsidR="00B22C12" w:rsidRPr="0005162D">
                      <w:rPr>
                        <w:sz w:val="24"/>
                        <w:szCs w:val="24"/>
                      </w:rPr>
                      <w:instrText xml:space="preserve"> PAGE  \* MERGEFORMAT </w:instrText>
                    </w:r>
                    <w:r w:rsidRPr="0005162D">
                      <w:rPr>
                        <w:sz w:val="24"/>
                        <w:szCs w:val="24"/>
                      </w:rPr>
                      <w:fldChar w:fldCharType="separate"/>
                    </w:r>
                    <w:r w:rsidR="00507CE3">
                      <w:rPr>
                        <w:noProof/>
                        <w:sz w:val="24"/>
                        <w:szCs w:val="24"/>
                      </w:rPr>
                      <w:t>- 8 -</w:t>
                    </w:r>
                    <w:r w:rsidRPr="0005162D">
                      <w:rPr>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10C6" w14:textId="77777777" w:rsidR="001430A3" w:rsidRDefault="00894ED8">
    <w:pPr>
      <w:jc w:val="center"/>
    </w:pPr>
    <w:r>
      <w:fldChar w:fldCharType="begin"/>
    </w:r>
    <w:r w:rsidR="00B22C12">
      <w:instrText>PAGE   \* MERGEFORMAT</w:instrText>
    </w:r>
    <w:r>
      <w:fldChar w:fldCharType="separate"/>
    </w:r>
    <w:r w:rsidR="00B22C12">
      <w:rPr>
        <w:lang w:val="zh-CN"/>
      </w:rPr>
      <w:t>2</w:t>
    </w:r>
    <w:r>
      <w:rPr>
        <w:lang w:val="zh-CN"/>
      </w:rPr>
      <w:fldChar w:fldCharType="end"/>
    </w:r>
  </w:p>
  <w:p w14:paraId="0AA53A20" w14:textId="77777777" w:rsidR="001430A3" w:rsidRDefault="001430A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AB92" w14:textId="77777777" w:rsidR="009F4F13" w:rsidRDefault="009F4F13">
      <w:r>
        <w:separator/>
      </w:r>
    </w:p>
  </w:footnote>
  <w:footnote w:type="continuationSeparator" w:id="0">
    <w:p w14:paraId="5CAD67B8" w14:textId="77777777" w:rsidR="009F4F13" w:rsidRDefault="009F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0B13" w14:textId="77777777" w:rsidR="00661990" w:rsidRDefault="0066199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B5B1" w14:textId="77777777" w:rsidR="001430A3" w:rsidRDefault="001430A3">
    <w:pP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3MTM1MTJhOWEzNmI2OWZlNWEzNDIxMDJiMGY4ZjcifQ=="/>
  </w:docVars>
  <w:rsids>
    <w:rsidRoot w:val="00C3642F"/>
    <w:rsid w:val="00023A99"/>
    <w:rsid w:val="0005162D"/>
    <w:rsid w:val="00062676"/>
    <w:rsid w:val="000705F6"/>
    <w:rsid w:val="0007230A"/>
    <w:rsid w:val="00076BC9"/>
    <w:rsid w:val="00091202"/>
    <w:rsid w:val="00091D55"/>
    <w:rsid w:val="000942F3"/>
    <w:rsid w:val="0009787B"/>
    <w:rsid w:val="00097A14"/>
    <w:rsid w:val="000A05AC"/>
    <w:rsid w:val="000B7F1D"/>
    <w:rsid w:val="000C049B"/>
    <w:rsid w:val="000C10AA"/>
    <w:rsid w:val="000C3FAA"/>
    <w:rsid w:val="000E23F2"/>
    <w:rsid w:val="000E5960"/>
    <w:rsid w:val="000E60F3"/>
    <w:rsid w:val="000F05CD"/>
    <w:rsid w:val="000F422A"/>
    <w:rsid w:val="000F4DA0"/>
    <w:rsid w:val="000F5907"/>
    <w:rsid w:val="000F76F2"/>
    <w:rsid w:val="00107040"/>
    <w:rsid w:val="001071F0"/>
    <w:rsid w:val="001104B2"/>
    <w:rsid w:val="0013260E"/>
    <w:rsid w:val="00141415"/>
    <w:rsid w:val="001429A0"/>
    <w:rsid w:val="001430A3"/>
    <w:rsid w:val="00153123"/>
    <w:rsid w:val="00156FCE"/>
    <w:rsid w:val="001612CC"/>
    <w:rsid w:val="00162A7B"/>
    <w:rsid w:val="00170D5E"/>
    <w:rsid w:val="001764FA"/>
    <w:rsid w:val="001850ED"/>
    <w:rsid w:val="00193407"/>
    <w:rsid w:val="001B7723"/>
    <w:rsid w:val="001B7999"/>
    <w:rsid w:val="001C5EA2"/>
    <w:rsid w:val="001E728B"/>
    <w:rsid w:val="001F1A43"/>
    <w:rsid w:val="00204E42"/>
    <w:rsid w:val="00204EFB"/>
    <w:rsid w:val="00206715"/>
    <w:rsid w:val="00207970"/>
    <w:rsid w:val="00263DCB"/>
    <w:rsid w:val="002652E9"/>
    <w:rsid w:val="00273215"/>
    <w:rsid w:val="00282653"/>
    <w:rsid w:val="0028728E"/>
    <w:rsid w:val="002950AF"/>
    <w:rsid w:val="00296412"/>
    <w:rsid w:val="002975CB"/>
    <w:rsid w:val="002A189F"/>
    <w:rsid w:val="002A3C0E"/>
    <w:rsid w:val="002B0134"/>
    <w:rsid w:val="002B514C"/>
    <w:rsid w:val="002B60C0"/>
    <w:rsid w:val="002C052B"/>
    <w:rsid w:val="002C211F"/>
    <w:rsid w:val="002D5F91"/>
    <w:rsid w:val="002F3C3F"/>
    <w:rsid w:val="00305A1C"/>
    <w:rsid w:val="003069EA"/>
    <w:rsid w:val="00317F41"/>
    <w:rsid w:val="0032513B"/>
    <w:rsid w:val="00326C1D"/>
    <w:rsid w:val="003271A7"/>
    <w:rsid w:val="003555F4"/>
    <w:rsid w:val="0036149D"/>
    <w:rsid w:val="0036211B"/>
    <w:rsid w:val="00367C64"/>
    <w:rsid w:val="00390498"/>
    <w:rsid w:val="00392A82"/>
    <w:rsid w:val="00397395"/>
    <w:rsid w:val="003B1E42"/>
    <w:rsid w:val="003D4686"/>
    <w:rsid w:val="003D6965"/>
    <w:rsid w:val="004138D9"/>
    <w:rsid w:val="00420B3F"/>
    <w:rsid w:val="004220CC"/>
    <w:rsid w:val="004265AF"/>
    <w:rsid w:val="0043039A"/>
    <w:rsid w:val="00431925"/>
    <w:rsid w:val="00431E9F"/>
    <w:rsid w:val="00445CA0"/>
    <w:rsid w:val="00450742"/>
    <w:rsid w:val="004544CC"/>
    <w:rsid w:val="00460EC1"/>
    <w:rsid w:val="00462834"/>
    <w:rsid w:val="00481885"/>
    <w:rsid w:val="00491DE5"/>
    <w:rsid w:val="004A4607"/>
    <w:rsid w:val="004C2EF4"/>
    <w:rsid w:val="004C3C78"/>
    <w:rsid w:val="004C4A5C"/>
    <w:rsid w:val="004E1FA4"/>
    <w:rsid w:val="004E414E"/>
    <w:rsid w:val="00507CE3"/>
    <w:rsid w:val="00507D2C"/>
    <w:rsid w:val="00512F0F"/>
    <w:rsid w:val="00526609"/>
    <w:rsid w:val="00530D9C"/>
    <w:rsid w:val="0053317E"/>
    <w:rsid w:val="00535564"/>
    <w:rsid w:val="00544CA8"/>
    <w:rsid w:val="005474FD"/>
    <w:rsid w:val="00554DAD"/>
    <w:rsid w:val="00571A4D"/>
    <w:rsid w:val="00574AED"/>
    <w:rsid w:val="00586F91"/>
    <w:rsid w:val="00593C63"/>
    <w:rsid w:val="005A587B"/>
    <w:rsid w:val="005C02BE"/>
    <w:rsid w:val="005C6736"/>
    <w:rsid w:val="005D0679"/>
    <w:rsid w:val="005D2597"/>
    <w:rsid w:val="005D566C"/>
    <w:rsid w:val="005E2821"/>
    <w:rsid w:val="005E2D71"/>
    <w:rsid w:val="005F2869"/>
    <w:rsid w:val="00605271"/>
    <w:rsid w:val="00615738"/>
    <w:rsid w:val="006222AC"/>
    <w:rsid w:val="006312EE"/>
    <w:rsid w:val="00632A4C"/>
    <w:rsid w:val="0063502F"/>
    <w:rsid w:val="00640FDF"/>
    <w:rsid w:val="00642CA8"/>
    <w:rsid w:val="00644BFD"/>
    <w:rsid w:val="00646FDE"/>
    <w:rsid w:val="006568EE"/>
    <w:rsid w:val="00661990"/>
    <w:rsid w:val="00663F89"/>
    <w:rsid w:val="00664A9B"/>
    <w:rsid w:val="00671034"/>
    <w:rsid w:val="006716A7"/>
    <w:rsid w:val="00683423"/>
    <w:rsid w:val="00684A7D"/>
    <w:rsid w:val="00693823"/>
    <w:rsid w:val="00694B1A"/>
    <w:rsid w:val="006A0177"/>
    <w:rsid w:val="006A2958"/>
    <w:rsid w:val="006D2E59"/>
    <w:rsid w:val="006E0ABA"/>
    <w:rsid w:val="006E6F1B"/>
    <w:rsid w:val="006F103C"/>
    <w:rsid w:val="006F1916"/>
    <w:rsid w:val="00701D54"/>
    <w:rsid w:val="00702EBC"/>
    <w:rsid w:val="00706B15"/>
    <w:rsid w:val="0072719F"/>
    <w:rsid w:val="00727F33"/>
    <w:rsid w:val="00735924"/>
    <w:rsid w:val="007367E7"/>
    <w:rsid w:val="00745E0C"/>
    <w:rsid w:val="0074659A"/>
    <w:rsid w:val="00751189"/>
    <w:rsid w:val="00753B2D"/>
    <w:rsid w:val="00781265"/>
    <w:rsid w:val="0078202B"/>
    <w:rsid w:val="007937DC"/>
    <w:rsid w:val="007A01B4"/>
    <w:rsid w:val="007A473D"/>
    <w:rsid w:val="007D4DC7"/>
    <w:rsid w:val="007E124C"/>
    <w:rsid w:val="007E13B5"/>
    <w:rsid w:val="007E2304"/>
    <w:rsid w:val="007F20F5"/>
    <w:rsid w:val="007F3E69"/>
    <w:rsid w:val="007F4D0A"/>
    <w:rsid w:val="007F799C"/>
    <w:rsid w:val="008109EC"/>
    <w:rsid w:val="00810AD3"/>
    <w:rsid w:val="0081478C"/>
    <w:rsid w:val="00825B96"/>
    <w:rsid w:val="00846E7A"/>
    <w:rsid w:val="00851E65"/>
    <w:rsid w:val="008546DE"/>
    <w:rsid w:val="00854D8D"/>
    <w:rsid w:val="00865F48"/>
    <w:rsid w:val="008701A6"/>
    <w:rsid w:val="00873090"/>
    <w:rsid w:val="00874EB8"/>
    <w:rsid w:val="008750C4"/>
    <w:rsid w:val="0088313E"/>
    <w:rsid w:val="00894ED8"/>
    <w:rsid w:val="008A7DE6"/>
    <w:rsid w:val="008B37DB"/>
    <w:rsid w:val="008B6532"/>
    <w:rsid w:val="008B6538"/>
    <w:rsid w:val="008C5519"/>
    <w:rsid w:val="008C7314"/>
    <w:rsid w:val="008D513E"/>
    <w:rsid w:val="008D606F"/>
    <w:rsid w:val="008D7DA1"/>
    <w:rsid w:val="009004C7"/>
    <w:rsid w:val="00906923"/>
    <w:rsid w:val="0091284C"/>
    <w:rsid w:val="0092252E"/>
    <w:rsid w:val="00926CEA"/>
    <w:rsid w:val="00927B6B"/>
    <w:rsid w:val="0093604F"/>
    <w:rsid w:val="009406E4"/>
    <w:rsid w:val="009548D2"/>
    <w:rsid w:val="0095651B"/>
    <w:rsid w:val="00957780"/>
    <w:rsid w:val="009617CE"/>
    <w:rsid w:val="00964F26"/>
    <w:rsid w:val="00971CBC"/>
    <w:rsid w:val="00972B4F"/>
    <w:rsid w:val="00972F1F"/>
    <w:rsid w:val="00976F5A"/>
    <w:rsid w:val="00994589"/>
    <w:rsid w:val="009948F4"/>
    <w:rsid w:val="009A0563"/>
    <w:rsid w:val="009A3250"/>
    <w:rsid w:val="009B2240"/>
    <w:rsid w:val="009B29F7"/>
    <w:rsid w:val="009B54C7"/>
    <w:rsid w:val="009B6F8F"/>
    <w:rsid w:val="009B71DB"/>
    <w:rsid w:val="009C1D10"/>
    <w:rsid w:val="009C3CF5"/>
    <w:rsid w:val="009C4536"/>
    <w:rsid w:val="009D58B0"/>
    <w:rsid w:val="009D5B37"/>
    <w:rsid w:val="009E27F8"/>
    <w:rsid w:val="009F2725"/>
    <w:rsid w:val="009F4F13"/>
    <w:rsid w:val="00A03A92"/>
    <w:rsid w:val="00A117D5"/>
    <w:rsid w:val="00A1336B"/>
    <w:rsid w:val="00A21612"/>
    <w:rsid w:val="00A2467C"/>
    <w:rsid w:val="00A27A0A"/>
    <w:rsid w:val="00A3508F"/>
    <w:rsid w:val="00A45E65"/>
    <w:rsid w:val="00A4735A"/>
    <w:rsid w:val="00A71EA1"/>
    <w:rsid w:val="00A729F4"/>
    <w:rsid w:val="00A750E0"/>
    <w:rsid w:val="00A76246"/>
    <w:rsid w:val="00A76CD9"/>
    <w:rsid w:val="00A90127"/>
    <w:rsid w:val="00A91B7B"/>
    <w:rsid w:val="00A95469"/>
    <w:rsid w:val="00AA2CDE"/>
    <w:rsid w:val="00AB1709"/>
    <w:rsid w:val="00AB232F"/>
    <w:rsid w:val="00AB34AC"/>
    <w:rsid w:val="00AC44B5"/>
    <w:rsid w:val="00AC5932"/>
    <w:rsid w:val="00AC7D0A"/>
    <w:rsid w:val="00AD70CC"/>
    <w:rsid w:val="00AF0523"/>
    <w:rsid w:val="00B06B27"/>
    <w:rsid w:val="00B11574"/>
    <w:rsid w:val="00B14012"/>
    <w:rsid w:val="00B1580D"/>
    <w:rsid w:val="00B17EBE"/>
    <w:rsid w:val="00B22C12"/>
    <w:rsid w:val="00B24441"/>
    <w:rsid w:val="00B24720"/>
    <w:rsid w:val="00B253D4"/>
    <w:rsid w:val="00B256A8"/>
    <w:rsid w:val="00B32D18"/>
    <w:rsid w:val="00B33582"/>
    <w:rsid w:val="00B514F3"/>
    <w:rsid w:val="00B62293"/>
    <w:rsid w:val="00B63D7B"/>
    <w:rsid w:val="00B6666B"/>
    <w:rsid w:val="00B71278"/>
    <w:rsid w:val="00B7181E"/>
    <w:rsid w:val="00B82916"/>
    <w:rsid w:val="00B8398B"/>
    <w:rsid w:val="00B9198E"/>
    <w:rsid w:val="00B93298"/>
    <w:rsid w:val="00BA3D77"/>
    <w:rsid w:val="00BB228C"/>
    <w:rsid w:val="00BB3A74"/>
    <w:rsid w:val="00BB483D"/>
    <w:rsid w:val="00BB7FC5"/>
    <w:rsid w:val="00BD4F1C"/>
    <w:rsid w:val="00BE26DA"/>
    <w:rsid w:val="00BE6873"/>
    <w:rsid w:val="00BF20BA"/>
    <w:rsid w:val="00C0233B"/>
    <w:rsid w:val="00C10958"/>
    <w:rsid w:val="00C11982"/>
    <w:rsid w:val="00C272AF"/>
    <w:rsid w:val="00C3022D"/>
    <w:rsid w:val="00C309BB"/>
    <w:rsid w:val="00C3642F"/>
    <w:rsid w:val="00C36CCA"/>
    <w:rsid w:val="00C37348"/>
    <w:rsid w:val="00C46CEE"/>
    <w:rsid w:val="00C47C72"/>
    <w:rsid w:val="00C5004D"/>
    <w:rsid w:val="00C6352D"/>
    <w:rsid w:val="00C7106E"/>
    <w:rsid w:val="00C76F0D"/>
    <w:rsid w:val="00C84F9D"/>
    <w:rsid w:val="00CA0756"/>
    <w:rsid w:val="00CA1713"/>
    <w:rsid w:val="00CA461D"/>
    <w:rsid w:val="00CB064B"/>
    <w:rsid w:val="00CB0676"/>
    <w:rsid w:val="00CB5D7B"/>
    <w:rsid w:val="00CC04CB"/>
    <w:rsid w:val="00CC08D9"/>
    <w:rsid w:val="00CC1C44"/>
    <w:rsid w:val="00CC1E63"/>
    <w:rsid w:val="00CD1D7B"/>
    <w:rsid w:val="00CD53F2"/>
    <w:rsid w:val="00CF04CA"/>
    <w:rsid w:val="00CF1C8C"/>
    <w:rsid w:val="00CF1D42"/>
    <w:rsid w:val="00CF62B0"/>
    <w:rsid w:val="00D019BA"/>
    <w:rsid w:val="00D03220"/>
    <w:rsid w:val="00D045FB"/>
    <w:rsid w:val="00D06039"/>
    <w:rsid w:val="00D13B1A"/>
    <w:rsid w:val="00D22D9F"/>
    <w:rsid w:val="00D26648"/>
    <w:rsid w:val="00D31A00"/>
    <w:rsid w:val="00D323F6"/>
    <w:rsid w:val="00D350D7"/>
    <w:rsid w:val="00D3641D"/>
    <w:rsid w:val="00D37033"/>
    <w:rsid w:val="00D41174"/>
    <w:rsid w:val="00D5211B"/>
    <w:rsid w:val="00D55D3D"/>
    <w:rsid w:val="00D630F4"/>
    <w:rsid w:val="00D71196"/>
    <w:rsid w:val="00D72753"/>
    <w:rsid w:val="00D74D1D"/>
    <w:rsid w:val="00DA5F2C"/>
    <w:rsid w:val="00DA7A05"/>
    <w:rsid w:val="00DB1C43"/>
    <w:rsid w:val="00DC2C5A"/>
    <w:rsid w:val="00DC6143"/>
    <w:rsid w:val="00DD2527"/>
    <w:rsid w:val="00DD7599"/>
    <w:rsid w:val="00DE77D4"/>
    <w:rsid w:val="00DE7CBC"/>
    <w:rsid w:val="00DF331D"/>
    <w:rsid w:val="00E00958"/>
    <w:rsid w:val="00E02D47"/>
    <w:rsid w:val="00E10B90"/>
    <w:rsid w:val="00E11FC0"/>
    <w:rsid w:val="00E1439E"/>
    <w:rsid w:val="00E1779B"/>
    <w:rsid w:val="00E2012C"/>
    <w:rsid w:val="00E21823"/>
    <w:rsid w:val="00E24525"/>
    <w:rsid w:val="00E30F11"/>
    <w:rsid w:val="00E31D1C"/>
    <w:rsid w:val="00E330E5"/>
    <w:rsid w:val="00E3505D"/>
    <w:rsid w:val="00E350CC"/>
    <w:rsid w:val="00E373E0"/>
    <w:rsid w:val="00E4299C"/>
    <w:rsid w:val="00E43A91"/>
    <w:rsid w:val="00E5118C"/>
    <w:rsid w:val="00E52792"/>
    <w:rsid w:val="00E55D71"/>
    <w:rsid w:val="00E60758"/>
    <w:rsid w:val="00E607FD"/>
    <w:rsid w:val="00E6192A"/>
    <w:rsid w:val="00E81AE7"/>
    <w:rsid w:val="00E87C7F"/>
    <w:rsid w:val="00EA3612"/>
    <w:rsid w:val="00EB0A27"/>
    <w:rsid w:val="00EC07EB"/>
    <w:rsid w:val="00ED1EEB"/>
    <w:rsid w:val="00ED6442"/>
    <w:rsid w:val="00EE0DA1"/>
    <w:rsid w:val="00EF70C8"/>
    <w:rsid w:val="00F03459"/>
    <w:rsid w:val="00F05399"/>
    <w:rsid w:val="00F07357"/>
    <w:rsid w:val="00F1263D"/>
    <w:rsid w:val="00F24DF8"/>
    <w:rsid w:val="00F26DCD"/>
    <w:rsid w:val="00F40D14"/>
    <w:rsid w:val="00F44707"/>
    <w:rsid w:val="00F50A43"/>
    <w:rsid w:val="00F557F7"/>
    <w:rsid w:val="00F63A58"/>
    <w:rsid w:val="00F63C19"/>
    <w:rsid w:val="00F722BF"/>
    <w:rsid w:val="00F83B4F"/>
    <w:rsid w:val="00F90C39"/>
    <w:rsid w:val="00F92446"/>
    <w:rsid w:val="00F93CCF"/>
    <w:rsid w:val="00F9703E"/>
    <w:rsid w:val="00FA3A7B"/>
    <w:rsid w:val="00FB7659"/>
    <w:rsid w:val="00FC64FC"/>
    <w:rsid w:val="00FE0799"/>
    <w:rsid w:val="00FE079F"/>
    <w:rsid w:val="00FF1C6C"/>
    <w:rsid w:val="01426761"/>
    <w:rsid w:val="016136AA"/>
    <w:rsid w:val="056F1060"/>
    <w:rsid w:val="06235109"/>
    <w:rsid w:val="06293905"/>
    <w:rsid w:val="069B6FAD"/>
    <w:rsid w:val="072B4E5D"/>
    <w:rsid w:val="07802883"/>
    <w:rsid w:val="0A4C23A4"/>
    <w:rsid w:val="0B506DCF"/>
    <w:rsid w:val="0C8111F4"/>
    <w:rsid w:val="0E093118"/>
    <w:rsid w:val="11360D0F"/>
    <w:rsid w:val="11F4424F"/>
    <w:rsid w:val="12C10A21"/>
    <w:rsid w:val="12F91B72"/>
    <w:rsid w:val="14877C25"/>
    <w:rsid w:val="1930635D"/>
    <w:rsid w:val="1C2B266D"/>
    <w:rsid w:val="1E0560ED"/>
    <w:rsid w:val="1E143AC9"/>
    <w:rsid w:val="1E254FA0"/>
    <w:rsid w:val="1F875E6A"/>
    <w:rsid w:val="200210C4"/>
    <w:rsid w:val="216D1AE3"/>
    <w:rsid w:val="22375990"/>
    <w:rsid w:val="2396721C"/>
    <w:rsid w:val="2B1C50BE"/>
    <w:rsid w:val="2B787142"/>
    <w:rsid w:val="2E932A09"/>
    <w:rsid w:val="2FDB0E3A"/>
    <w:rsid w:val="312C276E"/>
    <w:rsid w:val="325C6409"/>
    <w:rsid w:val="33DF336D"/>
    <w:rsid w:val="36886EBC"/>
    <w:rsid w:val="385E6D9F"/>
    <w:rsid w:val="3B6255DC"/>
    <w:rsid w:val="3C7803AF"/>
    <w:rsid w:val="3CD417E3"/>
    <w:rsid w:val="3E9F12F5"/>
    <w:rsid w:val="3EF15B73"/>
    <w:rsid w:val="400A56C5"/>
    <w:rsid w:val="418103E9"/>
    <w:rsid w:val="44FD4BB5"/>
    <w:rsid w:val="466F1F67"/>
    <w:rsid w:val="48967C7F"/>
    <w:rsid w:val="4917297D"/>
    <w:rsid w:val="49EF45A5"/>
    <w:rsid w:val="4B3C4B0D"/>
    <w:rsid w:val="4E014239"/>
    <w:rsid w:val="539238F7"/>
    <w:rsid w:val="551F0267"/>
    <w:rsid w:val="57BD1F4F"/>
    <w:rsid w:val="5A574FD2"/>
    <w:rsid w:val="5B1D51DA"/>
    <w:rsid w:val="5BB15F01"/>
    <w:rsid w:val="5D6121B1"/>
    <w:rsid w:val="608C02DE"/>
    <w:rsid w:val="618B083E"/>
    <w:rsid w:val="61AF035B"/>
    <w:rsid w:val="620C4A52"/>
    <w:rsid w:val="62826111"/>
    <w:rsid w:val="644F5459"/>
    <w:rsid w:val="67013B45"/>
    <w:rsid w:val="67AB36BD"/>
    <w:rsid w:val="6964204C"/>
    <w:rsid w:val="6D6221C3"/>
    <w:rsid w:val="6E120206"/>
    <w:rsid w:val="70205EFC"/>
    <w:rsid w:val="711720FD"/>
    <w:rsid w:val="717F0862"/>
    <w:rsid w:val="730572A3"/>
    <w:rsid w:val="73BF7F09"/>
    <w:rsid w:val="7481478B"/>
    <w:rsid w:val="75B262A0"/>
    <w:rsid w:val="77507D8D"/>
    <w:rsid w:val="77590795"/>
    <w:rsid w:val="79CC6250"/>
    <w:rsid w:val="7CD37A77"/>
    <w:rsid w:val="7F820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60CEB8D"/>
  <w15:docId w15:val="{E69852F4-8EBE-4D56-9825-3614E23F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C6143"/>
    <w:pPr>
      <w:jc w:val="both"/>
      <w:textAlignment w:val="baseline"/>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sid w:val="00DC6143"/>
    <w:pPr>
      <w:adjustRightInd w:val="0"/>
      <w:spacing w:before="102" w:line="360" w:lineRule="atLeast"/>
      <w:ind w:left="112"/>
    </w:pPr>
    <w:rPr>
      <w:kern w:val="0"/>
      <w:sz w:val="28"/>
      <w:szCs w:val="28"/>
    </w:rPr>
  </w:style>
  <w:style w:type="paragraph" w:styleId="a4">
    <w:name w:val="Body Text First Indent"/>
    <w:basedOn w:val="a0"/>
    <w:link w:val="a6"/>
    <w:uiPriority w:val="99"/>
    <w:rsid w:val="00DC6143"/>
    <w:pPr>
      <w:spacing w:after="120"/>
      <w:ind w:left="0" w:firstLineChars="100" w:firstLine="420"/>
    </w:pPr>
    <w:rPr>
      <w:rFonts w:ascii="Calibri" w:hAnsi="Calibri"/>
      <w:sz w:val="21"/>
      <w:szCs w:val="22"/>
    </w:rPr>
  </w:style>
  <w:style w:type="paragraph" w:styleId="a7">
    <w:name w:val="header"/>
    <w:basedOn w:val="a"/>
    <w:link w:val="a8"/>
    <w:uiPriority w:val="99"/>
    <w:rsid w:val="00DC614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DC6143"/>
    <w:pPr>
      <w:spacing w:before="100" w:beforeAutospacing="1" w:after="100" w:afterAutospacing="1"/>
      <w:jc w:val="left"/>
    </w:pPr>
    <w:rPr>
      <w:rFonts w:ascii="宋体" w:hAnsi="宋体" w:cs="宋体"/>
      <w:kern w:val="0"/>
      <w:sz w:val="24"/>
      <w:szCs w:val="24"/>
    </w:rPr>
  </w:style>
  <w:style w:type="table" w:styleId="aa">
    <w:name w:val="Table Grid"/>
    <w:basedOn w:val="a2"/>
    <w:uiPriority w:val="99"/>
    <w:rsid w:val="00DC614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rsid w:val="00DC6143"/>
    <w:rPr>
      <w:rFonts w:cs="Times New Roman"/>
    </w:rPr>
  </w:style>
  <w:style w:type="character" w:customStyle="1" w:styleId="a5">
    <w:name w:val="正文文本 字符"/>
    <w:link w:val="a0"/>
    <w:uiPriority w:val="99"/>
    <w:semiHidden/>
    <w:qFormat/>
    <w:rsid w:val="00DC6143"/>
    <w:rPr>
      <w:rFonts w:ascii="Times New Roman" w:hAnsi="Times New Roman"/>
      <w:szCs w:val="21"/>
    </w:rPr>
  </w:style>
  <w:style w:type="character" w:customStyle="1" w:styleId="a6">
    <w:name w:val="正文文本首行缩进 字符"/>
    <w:basedOn w:val="a5"/>
    <w:link w:val="a4"/>
    <w:uiPriority w:val="99"/>
    <w:semiHidden/>
    <w:rsid w:val="00DC6143"/>
    <w:rPr>
      <w:rFonts w:ascii="Times New Roman" w:hAnsi="Times New Roman"/>
      <w:szCs w:val="21"/>
    </w:rPr>
  </w:style>
  <w:style w:type="character" w:customStyle="1" w:styleId="NormalCharacter">
    <w:name w:val="NormalCharacter"/>
    <w:uiPriority w:val="99"/>
    <w:rsid w:val="00DC6143"/>
  </w:style>
  <w:style w:type="character" w:customStyle="1" w:styleId="a8">
    <w:name w:val="页眉 字符"/>
    <w:link w:val="a7"/>
    <w:uiPriority w:val="99"/>
    <w:locked/>
    <w:rsid w:val="00DC6143"/>
    <w:rPr>
      <w:rFonts w:ascii="Times New Roman" w:hAnsi="Times New Roman" w:cs="Times New Roman"/>
      <w:kern w:val="2"/>
      <w:sz w:val="18"/>
      <w:szCs w:val="18"/>
    </w:rPr>
  </w:style>
  <w:style w:type="paragraph" w:styleId="ac">
    <w:name w:val="Balloon Text"/>
    <w:basedOn w:val="a"/>
    <w:link w:val="ad"/>
    <w:uiPriority w:val="99"/>
    <w:semiHidden/>
    <w:unhideWhenUsed/>
    <w:rsid w:val="0005162D"/>
    <w:rPr>
      <w:sz w:val="18"/>
      <w:szCs w:val="18"/>
    </w:rPr>
  </w:style>
  <w:style w:type="character" w:customStyle="1" w:styleId="ad">
    <w:name w:val="批注框文本 字符"/>
    <w:basedOn w:val="a1"/>
    <w:link w:val="ac"/>
    <w:uiPriority w:val="99"/>
    <w:semiHidden/>
    <w:rsid w:val="0005162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 旗胜</cp:lastModifiedBy>
  <cp:revision>49</cp:revision>
  <cp:lastPrinted>2022-08-08T01:15:00Z</cp:lastPrinted>
  <dcterms:created xsi:type="dcterms:W3CDTF">2022-08-10T07:02:00Z</dcterms:created>
  <dcterms:modified xsi:type="dcterms:W3CDTF">2022-08-11T18:25:00Z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E626E49D7DD441FA8C9102C7CA83B0E6</vt:lpwstr>
  </property>
</Properties>
</file>