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1E09" w:rsidRDefault="005F1E09" w:rsidP="005F1E09">
      <w:pPr>
        <w:widowControl/>
        <w:spacing w:line="480" w:lineRule="atLeast"/>
        <w:rPr>
          <w:rFonts w:eastAsia="仿宋_GB2312"/>
          <w:color w:val="000000"/>
          <w:kern w:val="0"/>
          <w:sz w:val="32"/>
          <w:szCs w:val="32"/>
        </w:rPr>
      </w:pPr>
      <w:r>
        <w:rPr>
          <w:rFonts w:eastAsia="仿宋_GB2312" w:hint="eastAsia"/>
          <w:color w:val="000000"/>
          <w:kern w:val="0"/>
          <w:sz w:val="32"/>
          <w:szCs w:val="32"/>
        </w:rPr>
        <w:t>附件</w:t>
      </w:r>
      <w:r>
        <w:rPr>
          <w:rFonts w:eastAsia="仿宋_GB2312"/>
          <w:color w:val="000000"/>
          <w:kern w:val="0"/>
          <w:sz w:val="32"/>
          <w:szCs w:val="32"/>
        </w:rPr>
        <w:t>2</w:t>
      </w:r>
    </w:p>
    <w:p w:rsidR="005F1E09" w:rsidRDefault="005F1E09" w:rsidP="005F1E09">
      <w:pPr>
        <w:widowControl/>
        <w:spacing w:line="480" w:lineRule="atLeast"/>
        <w:jc w:val="center"/>
        <w:rPr>
          <w:rFonts w:eastAsia="方正小标宋_GBK"/>
          <w:color w:val="000000"/>
          <w:spacing w:val="-6"/>
          <w:kern w:val="0"/>
          <w:sz w:val="42"/>
          <w:szCs w:val="42"/>
        </w:rPr>
      </w:pPr>
      <w:r>
        <w:rPr>
          <w:rFonts w:eastAsia="方正小标宋_GBK" w:hint="eastAsia"/>
          <w:color w:val="000000"/>
          <w:spacing w:val="-6"/>
          <w:kern w:val="0"/>
          <w:sz w:val="42"/>
          <w:szCs w:val="42"/>
        </w:rPr>
        <w:t>湖南省综合评标专家劳务报酬参考标准</w:t>
      </w:r>
    </w:p>
    <w:p w:rsidR="005F1E09" w:rsidRDefault="005F1E09" w:rsidP="005F1E09">
      <w:pPr>
        <w:widowControl/>
        <w:spacing w:line="420" w:lineRule="exact"/>
        <w:ind w:firstLine="480"/>
        <w:jc w:val="right"/>
        <w:rPr>
          <w:color w:val="000000"/>
          <w:kern w:val="0"/>
          <w:sz w:val="24"/>
        </w:rPr>
      </w:pPr>
      <w:r>
        <w:rPr>
          <w:color w:val="000000"/>
          <w:kern w:val="0"/>
          <w:sz w:val="24"/>
        </w:rPr>
        <w:t xml:space="preserve">    </w:t>
      </w:r>
      <w:r>
        <w:rPr>
          <w:rFonts w:hint="eastAsia"/>
          <w:color w:val="000000"/>
          <w:kern w:val="0"/>
          <w:sz w:val="24"/>
        </w:rPr>
        <w:t>单位：元</w:t>
      </w:r>
      <w:r>
        <w:rPr>
          <w:color w:val="000000"/>
          <w:kern w:val="0"/>
          <w:sz w:val="24"/>
        </w:rPr>
        <w:t>/</w:t>
      </w:r>
      <w:r>
        <w:rPr>
          <w:rFonts w:hint="eastAsia"/>
          <w:color w:val="000000"/>
          <w:kern w:val="0"/>
          <w:sz w:val="24"/>
        </w:rPr>
        <w:t>人次</w:t>
      </w:r>
    </w:p>
    <w:tbl>
      <w:tblPr>
        <w:tblW w:w="0" w:type="auto"/>
        <w:jc w:val="center"/>
        <w:tblLayout w:type="fixed"/>
        <w:tblCellMar>
          <w:left w:w="0" w:type="dxa"/>
          <w:right w:w="0" w:type="dxa"/>
        </w:tblCellMar>
        <w:tblLook w:val="0000" w:firstRow="0" w:lastRow="0" w:firstColumn="0" w:lastColumn="0" w:noHBand="0" w:noVBand="0"/>
      </w:tblPr>
      <w:tblGrid>
        <w:gridCol w:w="2267"/>
        <w:gridCol w:w="2833"/>
        <w:gridCol w:w="3825"/>
      </w:tblGrid>
      <w:tr w:rsidR="005F1E09" w:rsidTr="003C23DD">
        <w:trPr>
          <w:trHeight w:val="565"/>
          <w:jc w:val="center"/>
        </w:trPr>
        <w:tc>
          <w:tcPr>
            <w:tcW w:w="2267" w:type="dxa"/>
            <w:tcBorders>
              <w:top w:val="single" w:sz="4" w:space="0" w:color="auto"/>
              <w:left w:val="single" w:sz="4" w:space="0" w:color="auto"/>
              <w:bottom w:val="single" w:sz="4" w:space="0" w:color="auto"/>
              <w:right w:val="single" w:sz="4" w:space="0" w:color="auto"/>
            </w:tcBorders>
            <w:vAlign w:val="center"/>
          </w:tcPr>
          <w:p w:rsidR="005F1E09" w:rsidRDefault="005F1E09" w:rsidP="003C23DD">
            <w:pPr>
              <w:tabs>
                <w:tab w:val="left" w:pos="2115"/>
              </w:tabs>
              <w:spacing w:line="420" w:lineRule="exact"/>
              <w:jc w:val="center"/>
              <w:rPr>
                <w:rFonts w:eastAsia="黑体"/>
                <w:color w:val="000000"/>
                <w:kern w:val="0"/>
                <w:sz w:val="24"/>
              </w:rPr>
            </w:pPr>
            <w:r>
              <w:rPr>
                <w:rFonts w:eastAsia="黑体" w:hint="eastAsia"/>
                <w:color w:val="000000"/>
                <w:kern w:val="0"/>
                <w:sz w:val="24"/>
              </w:rPr>
              <w:t>评标类型</w:t>
            </w:r>
          </w:p>
        </w:tc>
        <w:tc>
          <w:tcPr>
            <w:tcW w:w="28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F1E09" w:rsidRDefault="005F1E09" w:rsidP="003C23DD">
            <w:pPr>
              <w:widowControl/>
              <w:spacing w:line="420" w:lineRule="exact"/>
              <w:jc w:val="center"/>
              <w:rPr>
                <w:rFonts w:eastAsia="黑体"/>
                <w:color w:val="000000"/>
                <w:kern w:val="0"/>
                <w:sz w:val="24"/>
              </w:rPr>
            </w:pPr>
            <w:r>
              <w:rPr>
                <w:rFonts w:eastAsia="黑体" w:hint="eastAsia"/>
                <w:color w:val="000000"/>
                <w:kern w:val="0"/>
                <w:sz w:val="24"/>
              </w:rPr>
              <w:t>评标时长</w:t>
            </w:r>
          </w:p>
        </w:tc>
        <w:tc>
          <w:tcPr>
            <w:tcW w:w="3825"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vAlign w:val="center"/>
          </w:tcPr>
          <w:p w:rsidR="005F1E09" w:rsidRDefault="005F1E09" w:rsidP="003C23DD">
            <w:pPr>
              <w:widowControl/>
              <w:spacing w:line="420" w:lineRule="exact"/>
              <w:jc w:val="center"/>
              <w:rPr>
                <w:rFonts w:eastAsia="黑体"/>
                <w:color w:val="000000"/>
                <w:kern w:val="0"/>
                <w:sz w:val="24"/>
              </w:rPr>
            </w:pPr>
            <w:r>
              <w:rPr>
                <w:rFonts w:eastAsia="黑体" w:hint="eastAsia"/>
                <w:color w:val="000000"/>
                <w:kern w:val="0"/>
                <w:sz w:val="24"/>
              </w:rPr>
              <w:t>专家劳务费（税后）参考标准</w:t>
            </w:r>
          </w:p>
        </w:tc>
      </w:tr>
      <w:tr w:rsidR="005F1E09" w:rsidTr="003C23DD">
        <w:trPr>
          <w:trHeight w:val="565"/>
          <w:jc w:val="center"/>
        </w:trPr>
        <w:tc>
          <w:tcPr>
            <w:tcW w:w="2267" w:type="dxa"/>
            <w:vMerge w:val="restart"/>
            <w:tcBorders>
              <w:top w:val="single" w:sz="4" w:space="0" w:color="auto"/>
              <w:left w:val="single" w:sz="8" w:space="0" w:color="auto"/>
              <w:bottom w:val="nil"/>
              <w:right w:val="single" w:sz="8" w:space="0" w:color="auto"/>
            </w:tcBorders>
            <w:vAlign w:val="center"/>
          </w:tcPr>
          <w:p w:rsidR="005F1E09" w:rsidRDefault="005F1E09" w:rsidP="003C23DD">
            <w:pPr>
              <w:tabs>
                <w:tab w:val="left" w:pos="2115"/>
              </w:tabs>
              <w:spacing w:line="420" w:lineRule="exact"/>
              <w:jc w:val="center"/>
              <w:rPr>
                <w:color w:val="000000"/>
                <w:kern w:val="0"/>
                <w:sz w:val="24"/>
              </w:rPr>
            </w:pPr>
            <w:r>
              <w:rPr>
                <w:rFonts w:hint="eastAsia"/>
                <w:color w:val="000000"/>
                <w:kern w:val="0"/>
                <w:sz w:val="24"/>
              </w:rPr>
              <w:t>当日评标</w:t>
            </w:r>
          </w:p>
        </w:tc>
        <w:tc>
          <w:tcPr>
            <w:tcW w:w="283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F1E09" w:rsidRDefault="005F1E09" w:rsidP="003C23DD">
            <w:pPr>
              <w:widowControl/>
              <w:spacing w:line="420" w:lineRule="exact"/>
              <w:jc w:val="center"/>
              <w:rPr>
                <w:color w:val="000000"/>
                <w:kern w:val="0"/>
                <w:sz w:val="24"/>
              </w:rPr>
            </w:pPr>
            <w:r>
              <w:rPr>
                <w:color w:val="000000"/>
                <w:kern w:val="0"/>
                <w:sz w:val="24"/>
              </w:rPr>
              <w:t>T ≤3</w:t>
            </w:r>
            <w:r>
              <w:rPr>
                <w:rFonts w:hint="eastAsia"/>
                <w:color w:val="000000"/>
                <w:kern w:val="0"/>
                <w:sz w:val="24"/>
              </w:rPr>
              <w:t>小时</w:t>
            </w:r>
          </w:p>
        </w:tc>
        <w:tc>
          <w:tcPr>
            <w:tcW w:w="3825" w:type="dxa"/>
            <w:tcBorders>
              <w:top w:val="nil"/>
              <w:left w:val="nil"/>
              <w:bottom w:val="single" w:sz="8" w:space="0" w:color="auto"/>
              <w:right w:val="single" w:sz="8" w:space="0" w:color="auto"/>
            </w:tcBorders>
            <w:tcMar>
              <w:top w:w="0" w:type="dxa"/>
              <w:left w:w="108" w:type="dxa"/>
              <w:bottom w:w="0" w:type="dxa"/>
              <w:right w:w="108" w:type="dxa"/>
            </w:tcMar>
            <w:vAlign w:val="center"/>
          </w:tcPr>
          <w:p w:rsidR="005F1E09" w:rsidRDefault="005F1E09" w:rsidP="003C23DD">
            <w:pPr>
              <w:widowControl/>
              <w:spacing w:line="420" w:lineRule="exact"/>
              <w:jc w:val="center"/>
              <w:rPr>
                <w:color w:val="000000"/>
                <w:kern w:val="0"/>
                <w:sz w:val="24"/>
              </w:rPr>
            </w:pPr>
            <w:r>
              <w:rPr>
                <w:color w:val="000000"/>
                <w:kern w:val="0"/>
                <w:sz w:val="24"/>
              </w:rPr>
              <w:t>600</w:t>
            </w:r>
          </w:p>
        </w:tc>
      </w:tr>
      <w:tr w:rsidR="005F1E09" w:rsidTr="003C23DD">
        <w:trPr>
          <w:trHeight w:val="572"/>
          <w:jc w:val="center"/>
        </w:trPr>
        <w:tc>
          <w:tcPr>
            <w:tcW w:w="2267" w:type="dxa"/>
            <w:vMerge/>
            <w:tcBorders>
              <w:top w:val="single" w:sz="4" w:space="0" w:color="auto"/>
              <w:left w:val="single" w:sz="8" w:space="0" w:color="auto"/>
              <w:bottom w:val="nil"/>
              <w:right w:val="single" w:sz="8" w:space="0" w:color="auto"/>
            </w:tcBorders>
            <w:vAlign w:val="center"/>
          </w:tcPr>
          <w:p w:rsidR="005F1E09" w:rsidRDefault="005F1E09" w:rsidP="003C23DD">
            <w:pPr>
              <w:widowControl/>
              <w:jc w:val="left"/>
              <w:rPr>
                <w:color w:val="000000"/>
                <w:kern w:val="0"/>
                <w:sz w:val="24"/>
              </w:rPr>
            </w:pPr>
          </w:p>
        </w:tc>
        <w:tc>
          <w:tcPr>
            <w:tcW w:w="2833" w:type="dxa"/>
            <w:tcBorders>
              <w:top w:val="nil"/>
              <w:left w:val="single" w:sz="8" w:space="0" w:color="auto"/>
              <w:bottom w:val="nil"/>
              <w:right w:val="single" w:sz="8" w:space="0" w:color="auto"/>
            </w:tcBorders>
            <w:tcMar>
              <w:top w:w="0" w:type="dxa"/>
              <w:left w:w="108" w:type="dxa"/>
              <w:bottom w:w="0" w:type="dxa"/>
              <w:right w:w="108" w:type="dxa"/>
            </w:tcMar>
            <w:vAlign w:val="center"/>
          </w:tcPr>
          <w:p w:rsidR="005F1E09" w:rsidRDefault="005F1E09" w:rsidP="003C23DD">
            <w:pPr>
              <w:widowControl/>
              <w:spacing w:line="420" w:lineRule="exact"/>
              <w:jc w:val="center"/>
              <w:rPr>
                <w:color w:val="000000"/>
                <w:kern w:val="0"/>
                <w:sz w:val="24"/>
              </w:rPr>
            </w:pPr>
            <w:r>
              <w:rPr>
                <w:color w:val="000000"/>
                <w:kern w:val="0"/>
                <w:sz w:val="24"/>
              </w:rPr>
              <w:t xml:space="preserve"> 11</w:t>
            </w:r>
            <w:r>
              <w:rPr>
                <w:rFonts w:hint="eastAsia"/>
                <w:color w:val="000000"/>
                <w:kern w:val="0"/>
                <w:sz w:val="24"/>
              </w:rPr>
              <w:t>小时</w:t>
            </w:r>
            <w:r>
              <w:rPr>
                <w:color w:val="000000"/>
                <w:kern w:val="0"/>
                <w:sz w:val="24"/>
              </w:rPr>
              <w:t>≥T &gt; 3</w:t>
            </w:r>
            <w:r>
              <w:rPr>
                <w:rFonts w:hint="eastAsia"/>
                <w:color w:val="000000"/>
                <w:kern w:val="0"/>
                <w:sz w:val="24"/>
              </w:rPr>
              <w:t>小时</w:t>
            </w:r>
          </w:p>
        </w:tc>
        <w:tc>
          <w:tcPr>
            <w:tcW w:w="3825" w:type="dxa"/>
            <w:tcBorders>
              <w:top w:val="nil"/>
              <w:left w:val="nil"/>
              <w:bottom w:val="single" w:sz="4" w:space="0" w:color="auto"/>
              <w:right w:val="single" w:sz="8" w:space="0" w:color="auto"/>
            </w:tcBorders>
            <w:tcMar>
              <w:top w:w="0" w:type="dxa"/>
              <w:left w:w="108" w:type="dxa"/>
              <w:bottom w:w="0" w:type="dxa"/>
              <w:right w:w="108" w:type="dxa"/>
            </w:tcMar>
            <w:vAlign w:val="center"/>
          </w:tcPr>
          <w:p w:rsidR="005F1E09" w:rsidRDefault="005F1E09" w:rsidP="003C23DD">
            <w:pPr>
              <w:widowControl/>
              <w:spacing w:line="420" w:lineRule="exact"/>
              <w:jc w:val="center"/>
              <w:rPr>
                <w:color w:val="000000"/>
                <w:kern w:val="0"/>
                <w:sz w:val="24"/>
              </w:rPr>
            </w:pPr>
            <w:r>
              <w:rPr>
                <w:color w:val="000000"/>
                <w:kern w:val="0"/>
                <w:sz w:val="24"/>
              </w:rPr>
              <w:t>600+</w:t>
            </w:r>
            <w:r>
              <w:rPr>
                <w:rFonts w:hint="eastAsia"/>
                <w:color w:val="000000"/>
                <w:kern w:val="0"/>
                <w:sz w:val="24"/>
              </w:rPr>
              <w:t>（</w:t>
            </w:r>
            <w:r>
              <w:rPr>
                <w:color w:val="000000"/>
                <w:kern w:val="0"/>
                <w:sz w:val="24"/>
              </w:rPr>
              <w:t>T-3</w:t>
            </w:r>
            <w:r>
              <w:rPr>
                <w:rFonts w:hint="eastAsia"/>
                <w:color w:val="000000"/>
                <w:kern w:val="0"/>
                <w:sz w:val="24"/>
              </w:rPr>
              <w:t>）</w:t>
            </w:r>
            <w:r>
              <w:rPr>
                <w:color w:val="000000"/>
                <w:kern w:val="0"/>
                <w:sz w:val="24"/>
              </w:rPr>
              <w:t>*100</w:t>
            </w:r>
          </w:p>
        </w:tc>
      </w:tr>
      <w:tr w:rsidR="005F1E09" w:rsidTr="003C23DD">
        <w:trPr>
          <w:trHeight w:val="552"/>
          <w:jc w:val="center"/>
        </w:trPr>
        <w:tc>
          <w:tcPr>
            <w:tcW w:w="2267" w:type="dxa"/>
            <w:vMerge w:val="restart"/>
            <w:tcBorders>
              <w:top w:val="single" w:sz="4" w:space="0" w:color="auto"/>
              <w:left w:val="single" w:sz="4" w:space="0" w:color="auto"/>
              <w:bottom w:val="single" w:sz="4" w:space="0" w:color="auto"/>
              <w:right w:val="single" w:sz="4" w:space="0" w:color="auto"/>
            </w:tcBorders>
            <w:vAlign w:val="center"/>
          </w:tcPr>
          <w:p w:rsidR="005F1E09" w:rsidRDefault="005F1E09" w:rsidP="003C23DD">
            <w:pPr>
              <w:widowControl/>
              <w:tabs>
                <w:tab w:val="left" w:pos="2115"/>
              </w:tabs>
              <w:spacing w:line="420" w:lineRule="exact"/>
              <w:jc w:val="center"/>
              <w:rPr>
                <w:color w:val="000000"/>
                <w:kern w:val="0"/>
                <w:sz w:val="24"/>
              </w:rPr>
            </w:pPr>
            <w:r>
              <w:rPr>
                <w:rFonts w:hint="eastAsia"/>
                <w:color w:val="000000"/>
                <w:kern w:val="0"/>
                <w:sz w:val="24"/>
              </w:rPr>
              <w:t>隔夜评标</w:t>
            </w:r>
          </w:p>
        </w:tc>
        <w:tc>
          <w:tcPr>
            <w:tcW w:w="28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F1E09" w:rsidRDefault="005F1E09" w:rsidP="003C23DD">
            <w:pPr>
              <w:widowControl/>
              <w:spacing w:line="420" w:lineRule="exact"/>
              <w:jc w:val="center"/>
              <w:rPr>
                <w:color w:val="000000"/>
                <w:kern w:val="0"/>
                <w:sz w:val="24"/>
              </w:rPr>
            </w:pPr>
            <w:r>
              <w:rPr>
                <w:color w:val="000000"/>
                <w:kern w:val="0"/>
                <w:sz w:val="24"/>
              </w:rPr>
              <w:t>T ≤3</w:t>
            </w:r>
            <w:r>
              <w:rPr>
                <w:rFonts w:hint="eastAsia"/>
                <w:color w:val="000000"/>
                <w:kern w:val="0"/>
                <w:sz w:val="24"/>
              </w:rPr>
              <w:t>小时</w:t>
            </w:r>
            <w:r>
              <w:rPr>
                <w:color w:val="000000"/>
                <w:kern w:val="0"/>
                <w:sz w:val="24"/>
              </w:rPr>
              <w:t xml:space="preserve">  </w:t>
            </w:r>
          </w:p>
        </w:tc>
        <w:tc>
          <w:tcPr>
            <w:tcW w:w="3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F1E09" w:rsidRDefault="005F1E09" w:rsidP="003C23DD">
            <w:pPr>
              <w:widowControl/>
              <w:spacing w:line="420" w:lineRule="exact"/>
              <w:jc w:val="center"/>
              <w:rPr>
                <w:color w:val="000000"/>
                <w:kern w:val="0"/>
                <w:sz w:val="24"/>
              </w:rPr>
            </w:pPr>
            <w:r>
              <w:rPr>
                <w:color w:val="000000"/>
                <w:kern w:val="0"/>
                <w:sz w:val="24"/>
              </w:rPr>
              <w:t>700</w:t>
            </w:r>
          </w:p>
        </w:tc>
      </w:tr>
      <w:tr w:rsidR="005F1E09" w:rsidTr="003C23DD">
        <w:trPr>
          <w:trHeight w:val="552"/>
          <w:jc w:val="center"/>
        </w:trPr>
        <w:tc>
          <w:tcPr>
            <w:tcW w:w="2267" w:type="dxa"/>
            <w:vMerge/>
            <w:tcBorders>
              <w:top w:val="single" w:sz="4" w:space="0" w:color="auto"/>
              <w:left w:val="single" w:sz="4" w:space="0" w:color="auto"/>
              <w:bottom w:val="single" w:sz="4" w:space="0" w:color="auto"/>
              <w:right w:val="single" w:sz="4" w:space="0" w:color="auto"/>
            </w:tcBorders>
            <w:vAlign w:val="center"/>
          </w:tcPr>
          <w:p w:rsidR="005F1E09" w:rsidRDefault="005F1E09" w:rsidP="003C23DD">
            <w:pPr>
              <w:widowControl/>
              <w:jc w:val="left"/>
              <w:rPr>
                <w:color w:val="000000"/>
                <w:kern w:val="0"/>
                <w:sz w:val="24"/>
              </w:rPr>
            </w:pPr>
          </w:p>
        </w:tc>
        <w:tc>
          <w:tcPr>
            <w:tcW w:w="28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F1E09" w:rsidRDefault="005F1E09" w:rsidP="003C23DD">
            <w:pPr>
              <w:widowControl/>
              <w:spacing w:line="420" w:lineRule="exact"/>
              <w:jc w:val="center"/>
              <w:rPr>
                <w:color w:val="000000"/>
                <w:kern w:val="0"/>
                <w:sz w:val="24"/>
              </w:rPr>
            </w:pPr>
            <w:r>
              <w:rPr>
                <w:color w:val="000000"/>
                <w:kern w:val="0"/>
                <w:sz w:val="24"/>
              </w:rPr>
              <w:t xml:space="preserve"> T &gt; 3</w:t>
            </w:r>
            <w:r>
              <w:rPr>
                <w:rFonts w:hint="eastAsia"/>
                <w:color w:val="000000"/>
                <w:kern w:val="0"/>
                <w:sz w:val="24"/>
              </w:rPr>
              <w:t>小时</w:t>
            </w:r>
          </w:p>
        </w:tc>
        <w:tc>
          <w:tcPr>
            <w:tcW w:w="3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F1E09" w:rsidRDefault="005F1E09" w:rsidP="003C23DD">
            <w:pPr>
              <w:widowControl/>
              <w:spacing w:line="420" w:lineRule="exact"/>
              <w:jc w:val="center"/>
              <w:rPr>
                <w:color w:val="000000"/>
                <w:kern w:val="0"/>
                <w:sz w:val="24"/>
              </w:rPr>
            </w:pPr>
            <w:r>
              <w:rPr>
                <w:color w:val="000000"/>
                <w:kern w:val="0"/>
                <w:sz w:val="24"/>
              </w:rPr>
              <w:t>700+</w:t>
            </w:r>
            <w:r>
              <w:rPr>
                <w:rFonts w:hint="eastAsia"/>
                <w:color w:val="000000"/>
                <w:kern w:val="0"/>
                <w:sz w:val="24"/>
              </w:rPr>
              <w:t>（</w:t>
            </w:r>
            <w:r>
              <w:rPr>
                <w:color w:val="000000"/>
                <w:kern w:val="0"/>
                <w:sz w:val="24"/>
              </w:rPr>
              <w:t>T-3</w:t>
            </w:r>
            <w:r>
              <w:rPr>
                <w:rFonts w:hint="eastAsia"/>
                <w:color w:val="000000"/>
                <w:kern w:val="0"/>
                <w:sz w:val="24"/>
              </w:rPr>
              <w:t>）</w:t>
            </w:r>
            <w:r>
              <w:rPr>
                <w:color w:val="000000"/>
                <w:kern w:val="0"/>
                <w:sz w:val="24"/>
              </w:rPr>
              <w:t>*100</w:t>
            </w:r>
          </w:p>
        </w:tc>
      </w:tr>
    </w:tbl>
    <w:p w:rsidR="005F1E09" w:rsidRDefault="005F1E09" w:rsidP="005F1E09">
      <w:pPr>
        <w:pStyle w:val="a0"/>
        <w:spacing w:line="596" w:lineRule="exact"/>
        <w:ind w:firstLineChars="200" w:firstLine="640"/>
        <w:jc w:val="both"/>
        <w:rPr>
          <w:rFonts w:ascii="Calibri" w:eastAsia="仿宋_GB2312" w:hAnsi="Calibri"/>
          <w:color w:val="000000"/>
          <w:sz w:val="32"/>
          <w:szCs w:val="32"/>
        </w:rPr>
      </w:pPr>
      <w:r>
        <w:rPr>
          <w:rFonts w:eastAsia="仿宋_GB2312" w:hint="eastAsia"/>
          <w:color w:val="000000"/>
          <w:sz w:val="32"/>
          <w:szCs w:val="32"/>
        </w:rPr>
        <w:t>注：</w:t>
      </w:r>
      <w:r>
        <w:rPr>
          <w:rFonts w:eastAsia="仿宋_GB2312"/>
          <w:color w:val="000000"/>
          <w:sz w:val="32"/>
          <w:szCs w:val="32"/>
        </w:rPr>
        <w:t>1.</w:t>
      </w:r>
      <w:r>
        <w:rPr>
          <w:rFonts w:eastAsia="仿宋_GB2312" w:hint="eastAsia"/>
          <w:color w:val="000000"/>
          <w:sz w:val="32"/>
          <w:szCs w:val="32"/>
        </w:rPr>
        <w:t>湖南省综合评标</w:t>
      </w:r>
      <w:proofErr w:type="gramStart"/>
      <w:r>
        <w:rPr>
          <w:rFonts w:eastAsia="仿宋_GB2312" w:hint="eastAsia"/>
          <w:color w:val="000000"/>
          <w:sz w:val="32"/>
          <w:szCs w:val="32"/>
        </w:rPr>
        <w:t>专家库不向</w:t>
      </w:r>
      <w:proofErr w:type="gramEnd"/>
      <w:r>
        <w:rPr>
          <w:rFonts w:eastAsia="仿宋_GB2312" w:hint="eastAsia"/>
          <w:color w:val="000000"/>
          <w:sz w:val="32"/>
          <w:szCs w:val="32"/>
        </w:rPr>
        <w:t>评标专家发放劳务报酬，评标专家劳务报酬按照</w:t>
      </w:r>
      <w:r>
        <w:rPr>
          <w:rFonts w:eastAsia="仿宋_GB2312"/>
          <w:color w:val="000000"/>
          <w:sz w:val="32"/>
          <w:szCs w:val="32"/>
        </w:rPr>
        <w:t>“</w:t>
      </w:r>
      <w:r>
        <w:rPr>
          <w:rFonts w:eastAsia="仿宋_GB2312" w:hint="eastAsia"/>
          <w:color w:val="000000"/>
          <w:sz w:val="32"/>
          <w:szCs w:val="32"/>
        </w:rPr>
        <w:t>谁使用、谁付费</w:t>
      </w:r>
      <w:r>
        <w:rPr>
          <w:rFonts w:eastAsia="仿宋_GB2312"/>
          <w:color w:val="000000"/>
          <w:sz w:val="32"/>
          <w:szCs w:val="32"/>
        </w:rPr>
        <w:t>”</w:t>
      </w:r>
      <w:r>
        <w:rPr>
          <w:rFonts w:eastAsia="仿宋_GB2312" w:hint="eastAsia"/>
          <w:color w:val="000000"/>
          <w:sz w:val="32"/>
          <w:szCs w:val="32"/>
        </w:rPr>
        <w:t>的原则，在评标专家评标工作结束后</w:t>
      </w:r>
      <w:r>
        <w:rPr>
          <w:rFonts w:eastAsia="仿宋_GB2312"/>
          <w:color w:val="000000"/>
          <w:sz w:val="32"/>
          <w:szCs w:val="32"/>
        </w:rPr>
        <w:t>10</w:t>
      </w:r>
      <w:r>
        <w:rPr>
          <w:rFonts w:eastAsia="仿宋_GB2312" w:hint="eastAsia"/>
          <w:color w:val="000000"/>
          <w:sz w:val="32"/>
          <w:szCs w:val="32"/>
        </w:rPr>
        <w:t>个工作日内，由交易项目发起方或其委托的代理机构统一支付，原则上采取银行转账方式。评标专家不得索要其他费用。</w:t>
      </w:r>
    </w:p>
    <w:p w:rsidR="005F1E09" w:rsidRDefault="005F1E09" w:rsidP="005F1E09">
      <w:pPr>
        <w:adjustRightInd w:val="0"/>
        <w:snapToGrid w:val="0"/>
        <w:spacing w:line="596" w:lineRule="exact"/>
        <w:ind w:firstLineChars="200" w:firstLine="640"/>
        <w:rPr>
          <w:rFonts w:eastAsia="仿宋_GB2312"/>
          <w:color w:val="000000"/>
          <w:kern w:val="0"/>
          <w:sz w:val="32"/>
          <w:szCs w:val="32"/>
        </w:rPr>
      </w:pPr>
      <w:r>
        <w:rPr>
          <w:rFonts w:eastAsia="仿宋_GB2312"/>
          <w:color w:val="000000"/>
          <w:kern w:val="0"/>
          <w:sz w:val="32"/>
          <w:szCs w:val="32"/>
        </w:rPr>
        <w:t>2.</w:t>
      </w:r>
      <w:r>
        <w:rPr>
          <w:rFonts w:eastAsia="仿宋_GB2312" w:hint="eastAsia"/>
          <w:color w:val="000000"/>
          <w:kern w:val="0"/>
          <w:sz w:val="32"/>
          <w:szCs w:val="32"/>
        </w:rPr>
        <w:t>湖南省综合评标专家劳务</w:t>
      </w:r>
      <w:r>
        <w:rPr>
          <w:rFonts w:eastAsia="仿宋_GB2312" w:hint="eastAsia"/>
          <w:color w:val="000000"/>
          <w:sz w:val="32"/>
          <w:szCs w:val="32"/>
        </w:rPr>
        <w:t>报酬</w:t>
      </w:r>
      <w:r>
        <w:rPr>
          <w:rFonts w:eastAsia="仿宋_GB2312" w:hint="eastAsia"/>
          <w:color w:val="000000"/>
          <w:kern w:val="0"/>
          <w:sz w:val="32"/>
          <w:szCs w:val="32"/>
        </w:rPr>
        <w:t>按评标时间计算，基准时间为</w:t>
      </w:r>
      <w:r>
        <w:rPr>
          <w:rFonts w:eastAsia="仿宋_GB2312"/>
          <w:color w:val="000000"/>
          <w:kern w:val="0"/>
          <w:sz w:val="32"/>
          <w:szCs w:val="32"/>
        </w:rPr>
        <w:t>3</w:t>
      </w:r>
      <w:r>
        <w:rPr>
          <w:rFonts w:eastAsia="仿宋_GB2312" w:hint="eastAsia"/>
          <w:color w:val="000000"/>
          <w:kern w:val="0"/>
          <w:sz w:val="32"/>
          <w:szCs w:val="32"/>
        </w:rPr>
        <w:t>小时，超过时数在</w:t>
      </w:r>
      <w:r>
        <w:rPr>
          <w:rFonts w:eastAsia="仿宋_GB2312"/>
          <w:color w:val="000000"/>
          <w:kern w:val="0"/>
          <w:sz w:val="32"/>
          <w:szCs w:val="32"/>
        </w:rPr>
        <w:t>0.5</w:t>
      </w:r>
      <w:r>
        <w:rPr>
          <w:rFonts w:eastAsia="仿宋_GB2312" w:hint="eastAsia"/>
          <w:color w:val="000000"/>
          <w:kern w:val="0"/>
          <w:sz w:val="32"/>
          <w:szCs w:val="32"/>
        </w:rPr>
        <w:t>小时以内（含</w:t>
      </w:r>
      <w:r>
        <w:rPr>
          <w:rFonts w:eastAsia="仿宋_GB2312"/>
          <w:color w:val="000000"/>
          <w:kern w:val="0"/>
          <w:sz w:val="32"/>
          <w:szCs w:val="32"/>
        </w:rPr>
        <w:t>0.5</w:t>
      </w:r>
      <w:r>
        <w:rPr>
          <w:rFonts w:eastAsia="仿宋_GB2312" w:hint="eastAsia"/>
          <w:color w:val="000000"/>
          <w:kern w:val="0"/>
          <w:sz w:val="32"/>
          <w:szCs w:val="32"/>
        </w:rPr>
        <w:t>小时）的按增加</w:t>
      </w:r>
      <w:r>
        <w:rPr>
          <w:rFonts w:eastAsia="仿宋_GB2312"/>
          <w:color w:val="000000"/>
          <w:kern w:val="0"/>
          <w:sz w:val="32"/>
          <w:szCs w:val="32"/>
        </w:rPr>
        <w:t>0.5</w:t>
      </w:r>
      <w:r>
        <w:rPr>
          <w:rFonts w:eastAsia="仿宋_GB2312" w:hint="eastAsia"/>
          <w:color w:val="000000"/>
          <w:kern w:val="0"/>
          <w:sz w:val="32"/>
          <w:szCs w:val="32"/>
        </w:rPr>
        <w:t>小时计算，</w:t>
      </w:r>
      <w:r>
        <w:rPr>
          <w:rFonts w:eastAsia="仿宋_GB2312"/>
          <w:color w:val="000000"/>
          <w:kern w:val="0"/>
          <w:sz w:val="32"/>
          <w:szCs w:val="32"/>
        </w:rPr>
        <w:t>0.5</w:t>
      </w:r>
      <w:r>
        <w:rPr>
          <w:rFonts w:eastAsia="仿宋_GB2312" w:hint="eastAsia"/>
          <w:color w:val="000000"/>
          <w:kern w:val="0"/>
          <w:sz w:val="32"/>
          <w:szCs w:val="32"/>
        </w:rPr>
        <w:t>小时以上至</w:t>
      </w:r>
      <w:r>
        <w:rPr>
          <w:rFonts w:eastAsia="仿宋_GB2312"/>
          <w:color w:val="000000"/>
          <w:kern w:val="0"/>
          <w:sz w:val="32"/>
          <w:szCs w:val="32"/>
        </w:rPr>
        <w:t>1</w:t>
      </w:r>
      <w:r>
        <w:rPr>
          <w:rFonts w:eastAsia="仿宋_GB2312" w:hint="eastAsia"/>
          <w:color w:val="000000"/>
          <w:kern w:val="0"/>
          <w:sz w:val="32"/>
          <w:szCs w:val="32"/>
        </w:rPr>
        <w:t>小时按增加</w:t>
      </w:r>
      <w:r>
        <w:rPr>
          <w:rFonts w:eastAsia="仿宋_GB2312"/>
          <w:color w:val="000000"/>
          <w:kern w:val="0"/>
          <w:sz w:val="32"/>
          <w:szCs w:val="32"/>
        </w:rPr>
        <w:t>1</w:t>
      </w:r>
      <w:r>
        <w:rPr>
          <w:rFonts w:eastAsia="仿宋_GB2312" w:hint="eastAsia"/>
          <w:color w:val="000000"/>
          <w:kern w:val="0"/>
          <w:sz w:val="32"/>
          <w:szCs w:val="32"/>
        </w:rPr>
        <w:t>小时计算。另外，</w:t>
      </w:r>
      <w:r>
        <w:rPr>
          <w:rFonts w:eastAsia="仿宋_GB2312"/>
          <w:color w:val="000000"/>
          <w:kern w:val="0"/>
          <w:sz w:val="32"/>
          <w:szCs w:val="32"/>
        </w:rPr>
        <w:t>0.5</w:t>
      </w:r>
      <w:r>
        <w:rPr>
          <w:rFonts w:eastAsia="仿宋_GB2312" w:hint="eastAsia"/>
          <w:color w:val="000000"/>
          <w:kern w:val="0"/>
          <w:sz w:val="32"/>
          <w:szCs w:val="32"/>
        </w:rPr>
        <w:t>小时内的休息时间计入评标时间，发放专家劳务报酬。</w:t>
      </w:r>
    </w:p>
    <w:p w:rsidR="005F1E09" w:rsidRDefault="005F1E09" w:rsidP="005F1E09">
      <w:pPr>
        <w:adjustRightInd w:val="0"/>
        <w:snapToGrid w:val="0"/>
        <w:spacing w:line="596" w:lineRule="exact"/>
        <w:ind w:firstLineChars="200" w:firstLine="640"/>
        <w:rPr>
          <w:rFonts w:eastAsia="仿宋_GB2312"/>
          <w:color w:val="000000"/>
          <w:kern w:val="0"/>
          <w:sz w:val="32"/>
          <w:szCs w:val="32"/>
        </w:rPr>
      </w:pPr>
      <w:r>
        <w:rPr>
          <w:rFonts w:eastAsia="仿宋_GB2312"/>
          <w:color w:val="000000"/>
          <w:kern w:val="0"/>
          <w:sz w:val="32"/>
          <w:szCs w:val="32"/>
        </w:rPr>
        <w:t>3.</w:t>
      </w:r>
      <w:r>
        <w:rPr>
          <w:rFonts w:eastAsia="仿宋_GB2312" w:hint="eastAsia"/>
          <w:color w:val="000000"/>
          <w:sz w:val="32"/>
          <w:szCs w:val="32"/>
        </w:rPr>
        <w:t>劳务报酬</w:t>
      </w:r>
      <w:r>
        <w:rPr>
          <w:rFonts w:eastAsia="仿宋_GB2312" w:hint="eastAsia"/>
          <w:color w:val="000000"/>
          <w:kern w:val="0"/>
          <w:sz w:val="32"/>
          <w:szCs w:val="32"/>
        </w:rPr>
        <w:t>计费起始时间为专家抽取系统设定的评标专家集合时间，计费结束时间为全体评标专家完成评标报告的时间。评标专家不得故意拖延评标时间，否则，不计入评标劳务报酬。远程异地评标专家评标劳务报酬的标准统一按照主场的标准执行。</w:t>
      </w:r>
    </w:p>
    <w:p w:rsidR="005F1E09" w:rsidRDefault="005F1E09" w:rsidP="005F1E09">
      <w:pPr>
        <w:adjustRightInd w:val="0"/>
        <w:snapToGrid w:val="0"/>
        <w:spacing w:line="596" w:lineRule="exact"/>
        <w:ind w:firstLineChars="200" w:firstLine="640"/>
        <w:rPr>
          <w:rFonts w:eastAsia="仿宋_GB2312"/>
          <w:color w:val="000000"/>
          <w:kern w:val="0"/>
          <w:sz w:val="32"/>
          <w:szCs w:val="32"/>
        </w:rPr>
      </w:pPr>
      <w:r>
        <w:rPr>
          <w:rFonts w:eastAsia="仿宋_GB2312"/>
          <w:color w:val="000000"/>
          <w:kern w:val="0"/>
          <w:sz w:val="32"/>
          <w:szCs w:val="32"/>
        </w:rPr>
        <w:lastRenderedPageBreak/>
        <w:t>4.</w:t>
      </w:r>
      <w:r>
        <w:rPr>
          <w:rFonts w:eastAsia="仿宋_GB2312" w:hint="eastAsia"/>
          <w:color w:val="000000"/>
          <w:kern w:val="0"/>
          <w:sz w:val="32"/>
          <w:szCs w:val="32"/>
        </w:rPr>
        <w:t>评标专家评标期间应适当安排休息（当日评标时间原则上不得超过</w:t>
      </w:r>
      <w:r>
        <w:rPr>
          <w:rFonts w:eastAsia="仿宋_GB2312"/>
          <w:color w:val="000000"/>
          <w:kern w:val="0"/>
          <w:sz w:val="32"/>
          <w:szCs w:val="32"/>
        </w:rPr>
        <w:t>8</w:t>
      </w:r>
      <w:r>
        <w:rPr>
          <w:rFonts w:eastAsia="仿宋_GB2312" w:hint="eastAsia"/>
          <w:color w:val="000000"/>
          <w:kern w:val="0"/>
          <w:sz w:val="32"/>
          <w:szCs w:val="32"/>
        </w:rPr>
        <w:t>小时，因特殊情况需要延长评标时间的，在保障评标专家身体健康的条件下可延长评标时间至</w:t>
      </w:r>
      <w:r>
        <w:rPr>
          <w:rFonts w:eastAsia="仿宋_GB2312"/>
          <w:color w:val="000000"/>
          <w:kern w:val="0"/>
          <w:sz w:val="32"/>
          <w:szCs w:val="32"/>
        </w:rPr>
        <w:t>11</w:t>
      </w:r>
      <w:r>
        <w:rPr>
          <w:rFonts w:eastAsia="仿宋_GB2312" w:hint="eastAsia"/>
          <w:color w:val="000000"/>
          <w:kern w:val="0"/>
          <w:sz w:val="32"/>
          <w:szCs w:val="32"/>
        </w:rPr>
        <w:t>个小时），以保证评标质量。评标结束时间超过当日</w:t>
      </w:r>
      <w:r>
        <w:rPr>
          <w:rFonts w:eastAsia="仿宋_GB2312"/>
          <w:color w:val="000000"/>
          <w:kern w:val="0"/>
          <w:sz w:val="32"/>
          <w:szCs w:val="32"/>
        </w:rPr>
        <w:t>12</w:t>
      </w:r>
      <w:r>
        <w:rPr>
          <w:rFonts w:eastAsia="仿宋_GB2312" w:hint="eastAsia"/>
          <w:color w:val="000000"/>
          <w:kern w:val="0"/>
          <w:sz w:val="32"/>
          <w:szCs w:val="32"/>
        </w:rPr>
        <w:t>：</w:t>
      </w:r>
      <w:r>
        <w:rPr>
          <w:rFonts w:eastAsia="仿宋_GB2312"/>
          <w:color w:val="000000"/>
          <w:kern w:val="0"/>
          <w:sz w:val="32"/>
          <w:szCs w:val="32"/>
        </w:rPr>
        <w:t>00</w:t>
      </w:r>
      <w:r>
        <w:rPr>
          <w:rFonts w:eastAsia="仿宋_GB2312" w:hint="eastAsia"/>
          <w:color w:val="000000"/>
          <w:kern w:val="0"/>
          <w:sz w:val="32"/>
          <w:szCs w:val="32"/>
        </w:rPr>
        <w:t>或</w:t>
      </w:r>
      <w:r>
        <w:rPr>
          <w:rFonts w:eastAsia="仿宋_GB2312"/>
          <w:color w:val="000000"/>
          <w:kern w:val="0"/>
          <w:sz w:val="32"/>
          <w:szCs w:val="32"/>
        </w:rPr>
        <w:t>18</w:t>
      </w:r>
      <w:r>
        <w:rPr>
          <w:rFonts w:eastAsia="仿宋_GB2312" w:hint="eastAsia"/>
          <w:color w:val="000000"/>
          <w:kern w:val="0"/>
          <w:sz w:val="32"/>
          <w:szCs w:val="32"/>
        </w:rPr>
        <w:t>：</w:t>
      </w:r>
      <w:r>
        <w:rPr>
          <w:rFonts w:eastAsia="仿宋_GB2312"/>
          <w:color w:val="000000"/>
          <w:kern w:val="0"/>
          <w:sz w:val="32"/>
          <w:szCs w:val="32"/>
        </w:rPr>
        <w:t>00</w:t>
      </w:r>
      <w:r>
        <w:rPr>
          <w:rFonts w:eastAsia="仿宋_GB2312" w:hint="eastAsia"/>
          <w:color w:val="000000"/>
          <w:kern w:val="0"/>
          <w:sz w:val="32"/>
          <w:szCs w:val="32"/>
        </w:rPr>
        <w:t>时，交易项目发起方或其委托的代理机构应当为专家统一安排午餐或晚餐，并承担相关费用。</w:t>
      </w:r>
    </w:p>
    <w:p w:rsidR="005F1E09" w:rsidRDefault="005F1E09" w:rsidP="005F1E09">
      <w:pPr>
        <w:adjustRightInd w:val="0"/>
        <w:snapToGrid w:val="0"/>
        <w:spacing w:line="596" w:lineRule="exact"/>
        <w:ind w:firstLineChars="200" w:firstLine="640"/>
        <w:rPr>
          <w:rFonts w:eastAsia="仿宋_GB2312"/>
          <w:color w:val="000000"/>
          <w:kern w:val="0"/>
          <w:sz w:val="32"/>
          <w:szCs w:val="32"/>
        </w:rPr>
      </w:pPr>
      <w:r>
        <w:rPr>
          <w:rFonts w:eastAsia="仿宋_GB2312"/>
          <w:color w:val="000000"/>
          <w:kern w:val="0"/>
          <w:sz w:val="32"/>
          <w:szCs w:val="32"/>
        </w:rPr>
        <w:t>5.</w:t>
      </w:r>
      <w:r>
        <w:rPr>
          <w:rFonts w:eastAsia="仿宋_GB2312" w:hint="eastAsia"/>
          <w:color w:val="000000"/>
          <w:kern w:val="0"/>
          <w:sz w:val="32"/>
          <w:szCs w:val="32"/>
        </w:rPr>
        <w:t>评标专家未完成评标工作擅自离开评标现场的，不得发放劳务报酬。组织原评标专家进行复评的，经确认为因评标专家不按照招标文件规定的评标标准和方法评标、对依法应当否决的投标不提出否决意见等情形的、或其他</w:t>
      </w:r>
      <w:proofErr w:type="gramStart"/>
      <w:r>
        <w:rPr>
          <w:rFonts w:eastAsia="仿宋_GB2312" w:hint="eastAsia"/>
          <w:color w:val="000000"/>
          <w:kern w:val="0"/>
          <w:sz w:val="32"/>
          <w:szCs w:val="32"/>
        </w:rPr>
        <w:t>因专家</w:t>
      </w:r>
      <w:proofErr w:type="gramEnd"/>
      <w:r>
        <w:rPr>
          <w:rFonts w:eastAsia="仿宋_GB2312" w:hint="eastAsia"/>
          <w:color w:val="000000"/>
          <w:kern w:val="0"/>
          <w:sz w:val="32"/>
          <w:szCs w:val="32"/>
        </w:rPr>
        <w:t>自身原因导致项目复评的，不予发放专家复评劳务报酬。</w:t>
      </w:r>
    </w:p>
    <w:p w:rsidR="005F1E09" w:rsidRDefault="005F1E09" w:rsidP="005F1E09">
      <w:pPr>
        <w:adjustRightInd w:val="0"/>
        <w:snapToGrid w:val="0"/>
        <w:spacing w:line="596" w:lineRule="exact"/>
        <w:ind w:firstLineChars="200" w:firstLine="640"/>
        <w:rPr>
          <w:rFonts w:eastAsia="仿宋_GB2312"/>
          <w:color w:val="000000"/>
          <w:kern w:val="0"/>
          <w:sz w:val="32"/>
          <w:szCs w:val="32"/>
        </w:rPr>
      </w:pPr>
      <w:r>
        <w:rPr>
          <w:rFonts w:eastAsia="仿宋_GB2312"/>
          <w:color w:val="000000"/>
          <w:kern w:val="0"/>
          <w:sz w:val="32"/>
          <w:szCs w:val="32"/>
        </w:rPr>
        <w:t>6.</w:t>
      </w:r>
      <w:r>
        <w:rPr>
          <w:rFonts w:eastAsia="仿宋_GB2312" w:hint="eastAsia"/>
          <w:color w:val="000000"/>
          <w:kern w:val="0"/>
          <w:sz w:val="32"/>
          <w:szCs w:val="32"/>
        </w:rPr>
        <w:t>评标专家不得以任何理由向招标人、采购人、委托人、出让人等交易项目发起方或其委托的代理机构索要额外劳务报酬。对违反规定的评标专家，由相关部门依法依规处理，并进行公示。</w:t>
      </w:r>
    </w:p>
    <w:p w:rsidR="005F1E09" w:rsidRDefault="005F1E09" w:rsidP="005F1E09">
      <w:pPr>
        <w:spacing w:line="596" w:lineRule="exact"/>
        <w:rPr>
          <w:rFonts w:eastAsia="仿宋_GB2312"/>
          <w:color w:val="000000"/>
          <w:sz w:val="32"/>
          <w:szCs w:val="32"/>
        </w:rPr>
      </w:pPr>
    </w:p>
    <w:p w:rsidR="005F1E09" w:rsidRDefault="005F1E09" w:rsidP="005F1E09"/>
    <w:p w:rsidR="006963BF" w:rsidRDefault="006963BF" w:rsidP="005F1E09">
      <w:bookmarkStart w:id="0" w:name="_GoBack"/>
      <w:bookmarkEnd w:id="0"/>
    </w:p>
    <w:sectPr w:rsidR="006963B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方正小标宋_GBK">
    <w:altName w:val="Arial Unicode MS"/>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4000ACFF" w:usb2="00000001"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E09"/>
    <w:rsid w:val="005F1E09"/>
    <w:rsid w:val="006963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1B4BB"/>
  <w15:chartTrackingRefBased/>
  <w15:docId w15:val="{FDC3EA3B-AC4C-460F-BD48-86C00FD9C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5F1E09"/>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basedOn w:val="a"/>
    <w:link w:val="a4"/>
    <w:uiPriority w:val="99"/>
    <w:unhideWhenUsed/>
    <w:qFormat/>
    <w:rsid w:val="005F1E09"/>
    <w:pPr>
      <w:tabs>
        <w:tab w:val="center" w:pos="4153"/>
        <w:tab w:val="right" w:pos="8306"/>
      </w:tabs>
      <w:snapToGrid w:val="0"/>
      <w:jc w:val="left"/>
    </w:pPr>
    <w:rPr>
      <w:sz w:val="18"/>
      <w:szCs w:val="18"/>
    </w:rPr>
  </w:style>
  <w:style w:type="character" w:customStyle="1" w:styleId="a4">
    <w:name w:val="页脚 字符"/>
    <w:basedOn w:val="a1"/>
    <w:link w:val="a0"/>
    <w:uiPriority w:val="99"/>
    <w:rsid w:val="005F1E0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DC7"/>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vv2746</dc:creator>
  <cp:keywords/>
  <dc:description/>
  <cp:lastModifiedBy>vv2746</cp:lastModifiedBy>
  <cp:revision>1</cp:revision>
  <dcterms:created xsi:type="dcterms:W3CDTF">2022-11-22T07:55:00Z</dcterms:created>
  <dcterms:modified xsi:type="dcterms:W3CDTF">2022-11-22T07:56:00Z</dcterms:modified>
</cp:coreProperties>
</file>