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黑体" w:hAnsi="黑体" w:eastAsia="黑体" w:cs="黑体"/>
          <w:kern w:val="0"/>
          <w:sz w:val="32"/>
          <w:szCs w:val="32"/>
        </w:rPr>
      </w:pPr>
      <w:r>
        <w:rPr>
          <w:rFonts w:hint="eastAsia" w:ascii="黑体" w:hAnsi="黑体" w:eastAsia="黑体" w:cs="黑体"/>
          <w:kern w:val="0"/>
          <w:sz w:val="32"/>
          <w:szCs w:val="32"/>
        </w:rPr>
        <w:t>附件1</w:t>
      </w:r>
    </w:p>
    <w:p>
      <w:pPr>
        <w:spacing w:line="700" w:lineRule="exact"/>
        <w:jc w:val="center"/>
        <w:rPr>
          <w:rFonts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湖南省公共资源交易平台</w:t>
      </w:r>
    </w:p>
    <w:p>
      <w:pPr>
        <w:spacing w:line="700" w:lineRule="exact"/>
        <w:jc w:val="center"/>
        <w:rPr>
          <w:rFonts w:ascii="方正小标宋简体" w:hAnsi="黑体" w:eastAsia="方正小标宋简体" w:cs="黑体"/>
          <w:kern w:val="0"/>
          <w:sz w:val="44"/>
          <w:szCs w:val="44"/>
        </w:rPr>
      </w:pPr>
      <w:bookmarkStart w:id="9" w:name="_GoBack"/>
      <w:r>
        <w:rPr>
          <w:rFonts w:hint="eastAsia" w:ascii="方正小标宋简体" w:hAnsi="黑体" w:eastAsia="方正小标宋简体" w:cs="黑体"/>
          <w:kern w:val="0"/>
          <w:sz w:val="44"/>
          <w:szCs w:val="44"/>
        </w:rPr>
        <w:t>工程建设项目招标投标交易系统运行导则</w:t>
      </w:r>
    </w:p>
    <w:p>
      <w:pPr>
        <w:spacing w:line="700" w:lineRule="exact"/>
        <w:jc w:val="center"/>
        <w:rPr>
          <w:rFonts w:ascii="方正小标宋简体" w:hAnsi="黑体" w:eastAsia="方正小标宋简体" w:cs="黑体"/>
          <w:kern w:val="0"/>
          <w:szCs w:val="21"/>
          <w:lang w:val="en"/>
        </w:rPr>
      </w:pPr>
      <w:r>
        <w:rPr>
          <w:rFonts w:hint="eastAsia" w:ascii="方正小标宋简体" w:hAnsi="黑体" w:eastAsia="方正小标宋简体" w:cs="黑体"/>
          <w:kern w:val="0"/>
          <w:sz w:val="44"/>
          <w:szCs w:val="44"/>
        </w:rPr>
        <w:t>（试行）</w:t>
      </w:r>
    </w:p>
    <w:bookmarkEnd w:id="9"/>
    <w:p>
      <w:pPr>
        <w:spacing w:after="120"/>
        <w:rPr>
          <w:kern w:val="0"/>
          <w:szCs w:val="24"/>
        </w:rPr>
      </w:pPr>
    </w:p>
    <w:p>
      <w:pPr>
        <w:rPr>
          <w:szCs w:val="24"/>
        </w:rPr>
      </w:pPr>
    </w:p>
    <w:p>
      <w:pPr>
        <w:widowControl/>
        <w:shd w:val="clear" w:color="auto" w:fill="FFFFFF"/>
        <w:spacing w:line="360" w:lineRule="auto"/>
        <w:jc w:val="center"/>
        <w:rPr>
          <w:szCs w:val="24"/>
        </w:rPr>
      </w:pPr>
      <w:r>
        <w:rPr>
          <w:rFonts w:hint="eastAsia" w:ascii="黑体" w:hAnsi="黑体" w:eastAsia="黑体" w:cs="黑体"/>
          <w:bCs/>
          <w:kern w:val="0"/>
          <w:sz w:val="32"/>
          <w:szCs w:val="32"/>
        </w:rPr>
        <w:t>第一章</w:t>
      </w:r>
      <w:r>
        <w:rPr>
          <w:rFonts w:hint="eastAsia" w:ascii="黑体" w:hAnsi="黑体" w:eastAsia="黑体" w:cs="黑体"/>
          <w:bCs/>
          <w:kern w:val="0"/>
          <w:sz w:val="32"/>
          <w:szCs w:val="32"/>
        </w:rPr>
        <w:tab/>
      </w:r>
      <w:r>
        <w:rPr>
          <w:rFonts w:hint="eastAsia" w:ascii="黑体" w:hAnsi="黑体" w:eastAsia="黑体" w:cs="黑体"/>
          <w:bCs/>
          <w:kern w:val="0"/>
          <w:sz w:val="32"/>
          <w:szCs w:val="32"/>
        </w:rPr>
        <w:t>总则</w:t>
      </w:r>
    </w:p>
    <w:p>
      <w:pPr>
        <w:widowControl/>
        <w:shd w:val="clear" w:color="auto" w:fill="FFFFFF"/>
        <w:spacing w:line="360" w:lineRule="auto"/>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第一条</w:t>
      </w:r>
      <w:r>
        <w:rPr>
          <w:rFonts w:hint="eastAsia" w:ascii="仿宋" w:hAnsi="仿宋" w:eastAsia="仿宋" w:cs="华文仿宋"/>
          <w:kern w:val="0"/>
          <w:sz w:val="32"/>
          <w:szCs w:val="32"/>
        </w:rPr>
        <w:t>【</w:t>
      </w:r>
      <w:r>
        <w:rPr>
          <w:rFonts w:hint="eastAsia" w:ascii="仿宋" w:hAnsi="仿宋" w:eastAsia="仿宋" w:cs="华文仿宋"/>
          <w:b/>
          <w:bCs/>
          <w:kern w:val="0"/>
          <w:sz w:val="32"/>
          <w:szCs w:val="32"/>
          <w:lang w:val="en"/>
        </w:rPr>
        <w:t>制定目的</w:t>
      </w:r>
      <w:r>
        <w:rPr>
          <w:rFonts w:hint="eastAsia" w:ascii="仿宋" w:hAnsi="仿宋" w:eastAsia="仿宋" w:cs="华文仿宋"/>
          <w:kern w:val="0"/>
          <w:sz w:val="32"/>
          <w:szCs w:val="32"/>
          <w:lang w:val="en"/>
        </w:rPr>
        <w:t>】</w:t>
      </w:r>
      <w:r>
        <w:rPr>
          <w:rFonts w:ascii="仿宋" w:hAnsi="仿宋" w:eastAsia="仿宋"/>
          <w:sz w:val="32"/>
          <w:szCs w:val="32"/>
        </w:rPr>
        <w:t>为</w:t>
      </w:r>
      <w:r>
        <w:rPr>
          <w:rFonts w:hint="eastAsia" w:ascii="仿宋" w:hAnsi="仿宋" w:eastAsia="仿宋"/>
          <w:sz w:val="32"/>
          <w:szCs w:val="32"/>
        </w:rPr>
        <w:t>进一步</w:t>
      </w:r>
      <w:r>
        <w:rPr>
          <w:rFonts w:ascii="仿宋" w:hAnsi="仿宋" w:eastAsia="仿宋"/>
          <w:sz w:val="32"/>
          <w:szCs w:val="32"/>
        </w:rPr>
        <w:t>规范</w:t>
      </w:r>
      <w:r>
        <w:rPr>
          <w:rFonts w:hint="eastAsia" w:ascii="仿宋" w:hAnsi="仿宋" w:eastAsia="仿宋"/>
          <w:sz w:val="32"/>
          <w:szCs w:val="32"/>
        </w:rPr>
        <w:t>全省公共资源交易平台</w:t>
      </w:r>
      <w:r>
        <w:rPr>
          <w:rFonts w:ascii="仿宋" w:hAnsi="仿宋" w:eastAsia="仿宋"/>
          <w:sz w:val="32"/>
          <w:szCs w:val="32"/>
        </w:rPr>
        <w:t>工程建设项目</w:t>
      </w:r>
      <w:r>
        <w:rPr>
          <w:rFonts w:hint="eastAsia" w:ascii="仿宋" w:hAnsi="仿宋" w:eastAsia="仿宋"/>
          <w:sz w:val="32"/>
          <w:szCs w:val="32"/>
        </w:rPr>
        <w:t>招标投标</w:t>
      </w:r>
      <w:r>
        <w:rPr>
          <w:rFonts w:ascii="仿宋" w:hAnsi="仿宋" w:eastAsia="仿宋"/>
          <w:sz w:val="32"/>
          <w:szCs w:val="32"/>
        </w:rPr>
        <w:t>交易</w:t>
      </w:r>
      <w:r>
        <w:rPr>
          <w:rFonts w:hint="eastAsia" w:ascii="仿宋" w:hAnsi="仿宋" w:eastAsia="仿宋"/>
          <w:sz w:val="32"/>
          <w:szCs w:val="32"/>
        </w:rPr>
        <w:t>运行</w:t>
      </w:r>
      <w:r>
        <w:rPr>
          <w:rFonts w:ascii="仿宋" w:hAnsi="仿宋" w:eastAsia="仿宋"/>
          <w:sz w:val="32"/>
          <w:szCs w:val="32"/>
        </w:rPr>
        <w:t>管理，</w:t>
      </w:r>
      <w:r>
        <w:rPr>
          <w:rFonts w:hint="eastAsia" w:ascii="仿宋" w:hAnsi="仿宋" w:eastAsia="仿宋"/>
          <w:sz w:val="32"/>
          <w:szCs w:val="32"/>
        </w:rPr>
        <w:t>提升工作效能，精简办事流程，厘清交易运行中市场主体工作职责边界及相关流程操作要求，为各市场主体</w:t>
      </w:r>
      <w:r>
        <w:rPr>
          <w:rFonts w:ascii="仿宋" w:hAnsi="仿宋" w:eastAsia="仿宋"/>
          <w:sz w:val="32"/>
          <w:szCs w:val="32"/>
        </w:rPr>
        <w:t>提供</w:t>
      </w:r>
      <w:r>
        <w:rPr>
          <w:rFonts w:hint="eastAsia" w:ascii="仿宋" w:hAnsi="仿宋" w:eastAsia="仿宋"/>
          <w:sz w:val="32"/>
          <w:szCs w:val="32"/>
        </w:rPr>
        <w:t>更</w:t>
      </w:r>
      <w:r>
        <w:rPr>
          <w:rFonts w:ascii="仿宋" w:hAnsi="仿宋" w:eastAsia="仿宋"/>
          <w:sz w:val="32"/>
          <w:szCs w:val="32"/>
        </w:rPr>
        <w:t>优质服务</w:t>
      </w:r>
      <w:r>
        <w:rPr>
          <w:rFonts w:hint="eastAsia" w:ascii="仿宋" w:hAnsi="仿宋" w:eastAsia="仿宋"/>
          <w:sz w:val="32"/>
          <w:szCs w:val="32"/>
        </w:rPr>
        <w:t>，</w:t>
      </w:r>
      <w:r>
        <w:rPr>
          <w:rFonts w:ascii="仿宋" w:hAnsi="仿宋" w:eastAsia="仿宋"/>
          <w:sz w:val="32"/>
          <w:szCs w:val="32"/>
        </w:rPr>
        <w:t>实现场内交易</w:t>
      </w:r>
      <w:r>
        <w:rPr>
          <w:rFonts w:hint="eastAsia" w:ascii="仿宋" w:hAnsi="仿宋" w:eastAsia="仿宋"/>
          <w:sz w:val="32"/>
          <w:szCs w:val="32"/>
        </w:rPr>
        <w:t>服务</w:t>
      </w:r>
      <w:r>
        <w:rPr>
          <w:rFonts w:ascii="仿宋" w:hAnsi="仿宋" w:eastAsia="仿宋"/>
          <w:sz w:val="32"/>
          <w:szCs w:val="32"/>
        </w:rPr>
        <w:t>标准化、规范化，</w:t>
      </w:r>
      <w:r>
        <w:rPr>
          <w:rFonts w:hint="eastAsia" w:ascii="仿宋" w:hAnsi="仿宋" w:eastAsia="仿宋" w:cs="华文仿宋"/>
          <w:kern w:val="0"/>
          <w:sz w:val="32"/>
          <w:szCs w:val="32"/>
        </w:rPr>
        <w:t>根据《中华人民共和国招标投标法》及其实施条例等法律法规和规章，结合我省现场管理有关工作规定和电子化交易平台操作流程，制定本运行导则。</w:t>
      </w:r>
      <w:r>
        <w:rPr>
          <w:rFonts w:eastAsia="仿宋" w:cs="Calibri"/>
          <w:kern w:val="0"/>
          <w:sz w:val="32"/>
          <w:szCs w:val="32"/>
        </w:rPr>
        <w:t> </w:t>
      </w:r>
    </w:p>
    <w:p>
      <w:pPr>
        <w:widowControl/>
        <w:shd w:val="clear" w:color="auto" w:fill="FFFFFF"/>
        <w:spacing w:line="360" w:lineRule="auto"/>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第二条【运行原则】</w:t>
      </w:r>
      <w:r>
        <w:rPr>
          <w:rFonts w:hint="eastAsia" w:ascii="仿宋" w:hAnsi="仿宋" w:eastAsia="仿宋" w:cs="华文仿宋"/>
          <w:kern w:val="0"/>
          <w:sz w:val="32"/>
          <w:szCs w:val="32"/>
        </w:rPr>
        <w:t>工程建设项目招标投标交易运行管理应当遵循公开、公平、公正和规范、透明、高效的原则，落实“同标准受理、无差别办理”“能线上不线下、能机器不人工”的根本要求。</w:t>
      </w:r>
    </w:p>
    <w:p>
      <w:pPr>
        <w:widowControl/>
        <w:shd w:val="clear" w:color="auto" w:fill="FFFFFF"/>
        <w:spacing w:line="360" w:lineRule="auto"/>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第三条【适用范围】</w:t>
      </w:r>
      <w:r>
        <w:rPr>
          <w:rFonts w:hint="eastAsia" w:ascii="仿宋" w:hAnsi="仿宋" w:eastAsia="仿宋" w:cs="华文仿宋"/>
          <w:kern w:val="0"/>
          <w:sz w:val="32"/>
          <w:szCs w:val="32"/>
        </w:rPr>
        <w:t>本运行导则适用于全省范围内由公共资源交易中心（以下简称“交易中心”）进场受理并通过“湖南省公共资源交易平台工程建设项目招投标交易系统”（以下简称“交易系统”）实施全流程电子化交易活动的所有工程建设项目。</w:t>
      </w:r>
    </w:p>
    <w:p>
      <w:pPr>
        <w:spacing w:line="360" w:lineRule="auto"/>
        <w:ind w:firstLine="643" w:firstLineChars="200"/>
        <w:rPr>
          <w:rFonts w:ascii="仿宋" w:hAnsi="仿宋" w:eastAsia="仿宋" w:cs="华文仿宋"/>
          <w:sz w:val="32"/>
          <w:szCs w:val="32"/>
        </w:rPr>
      </w:pPr>
      <w:r>
        <w:rPr>
          <w:rFonts w:hint="eastAsia" w:ascii="仿宋" w:hAnsi="仿宋" w:eastAsia="仿宋" w:cs="华文仿宋"/>
          <w:b/>
          <w:bCs/>
          <w:sz w:val="32"/>
          <w:szCs w:val="32"/>
          <w:lang w:val="en"/>
        </w:rPr>
        <w:t>第四条</w:t>
      </w:r>
      <w:r>
        <w:rPr>
          <w:rFonts w:hint="eastAsia" w:ascii="仿宋" w:hAnsi="仿宋" w:eastAsia="仿宋" w:cs="华文仿宋"/>
          <w:b/>
          <w:bCs/>
          <w:sz w:val="32"/>
          <w:szCs w:val="32"/>
        </w:rPr>
        <w:t>【系统架构】</w:t>
      </w:r>
      <w:r>
        <w:rPr>
          <w:rFonts w:hint="eastAsia" w:ascii="仿宋" w:hAnsi="仿宋" w:eastAsia="仿宋" w:cs="华文仿宋"/>
          <w:sz w:val="32"/>
          <w:szCs w:val="32"/>
        </w:rPr>
        <w:t>按照全省公共资源交易信息化平台实施“六统一”要求，交易系统由省公共资源交易中心按照省级行业行政监督部门统一制定颁布的评标办法和电子交易标准范本开发建设，实施全省统一布局、分布部署，搭建集项目登记、招标备案、受理、场地预定、信息发布、投标、开标、评标、中标公示、合同签订、数字见证、异议投诉等交易全流程，且全省</w:t>
      </w:r>
      <w:r>
        <w:rPr>
          <w:rFonts w:hint="eastAsia" w:ascii="仿宋" w:hAnsi="仿宋" w:eastAsia="仿宋" w:cs="华文仿宋"/>
          <w:sz w:val="32"/>
          <w:szCs w:val="32"/>
          <w:lang w:val="en"/>
        </w:rPr>
        <w:t>规则统一、架构统一、功能齐全、</w:t>
      </w:r>
      <w:r>
        <w:rPr>
          <w:rFonts w:hint="eastAsia" w:ascii="仿宋" w:hAnsi="仿宋" w:eastAsia="仿宋" w:cs="华文仿宋"/>
          <w:sz w:val="32"/>
          <w:szCs w:val="32"/>
        </w:rPr>
        <w:t>流程规范、</w:t>
      </w:r>
      <w:r>
        <w:rPr>
          <w:rFonts w:hint="eastAsia" w:ascii="仿宋" w:hAnsi="仿宋" w:eastAsia="仿宋" w:cs="华文仿宋"/>
          <w:sz w:val="32"/>
          <w:szCs w:val="32"/>
          <w:lang w:val="en"/>
        </w:rPr>
        <w:t>管控严明的一体化交易体系。</w:t>
      </w:r>
    </w:p>
    <w:p>
      <w:pPr>
        <w:spacing w:line="360" w:lineRule="auto"/>
        <w:ind w:firstLine="643" w:firstLineChars="200"/>
        <w:rPr>
          <w:rFonts w:ascii="仿宋" w:hAnsi="仿宋" w:eastAsia="仿宋"/>
          <w:sz w:val="32"/>
          <w:szCs w:val="32"/>
        </w:rPr>
      </w:pPr>
      <w:r>
        <w:rPr>
          <w:rFonts w:hint="eastAsia" w:ascii="仿宋" w:hAnsi="仿宋" w:eastAsia="仿宋" w:cs="华文仿宋"/>
          <w:b/>
          <w:bCs/>
          <w:sz w:val="32"/>
          <w:szCs w:val="32"/>
          <w:lang w:val="en"/>
        </w:rPr>
        <w:t>第五条</w:t>
      </w:r>
      <w:r>
        <w:rPr>
          <w:rFonts w:hint="eastAsia" w:ascii="仿宋" w:hAnsi="仿宋" w:eastAsia="仿宋" w:cs="华文仿宋"/>
          <w:b/>
          <w:bCs/>
          <w:sz w:val="32"/>
          <w:szCs w:val="32"/>
        </w:rPr>
        <w:t>【系统组成】</w:t>
      </w:r>
      <w:r>
        <w:rPr>
          <w:rFonts w:hint="eastAsia" w:ascii="仿宋" w:hAnsi="仿宋" w:eastAsia="仿宋" w:cs="华文仿宋"/>
          <w:kern w:val="0"/>
          <w:sz w:val="32"/>
          <w:szCs w:val="32"/>
        </w:rPr>
        <w:t>交易系统主要由电子招标文件编制工具、电子招标文件备案、电子投标文件编制工具、电子开标、电子抽球、清标及电子评标等功能模块组成，涵盖住建、工业、交通、水利、农业、生态环境保护等行业工程建设项目，类型包含代建、勘察、设计、施工、监理、总承包、咨询以及与工程建设有关的重要设备、材料等招投标交易业务</w:t>
      </w:r>
      <w:r>
        <w:rPr>
          <w:rFonts w:hint="eastAsia" w:ascii="仿宋" w:hAnsi="仿宋" w:eastAsia="仿宋" w:cs="仿宋_GB2312"/>
          <w:kern w:val="0"/>
          <w:sz w:val="32"/>
          <w:szCs w:val="32"/>
        </w:rPr>
        <w:t>。</w:t>
      </w:r>
    </w:p>
    <w:p>
      <w:pPr>
        <w:spacing w:after="120" w:line="360" w:lineRule="auto"/>
        <w:ind w:firstLine="643" w:firstLineChars="200"/>
        <w:rPr>
          <w:rFonts w:ascii="仿宋" w:hAnsi="仿宋" w:eastAsia="仿宋" w:cs="华文仿宋"/>
          <w:kern w:val="0"/>
          <w:sz w:val="32"/>
          <w:szCs w:val="32"/>
          <w:lang w:val="en"/>
        </w:rPr>
      </w:pPr>
      <w:r>
        <w:rPr>
          <w:rFonts w:hint="eastAsia" w:ascii="仿宋" w:hAnsi="仿宋" w:eastAsia="仿宋" w:cs="华文仿宋"/>
          <w:b/>
          <w:bCs/>
          <w:kern w:val="0"/>
          <w:sz w:val="32"/>
          <w:szCs w:val="32"/>
          <w:lang w:val="en"/>
        </w:rPr>
        <w:t>第六</w:t>
      </w:r>
      <w:r>
        <w:rPr>
          <w:rFonts w:hint="eastAsia" w:ascii="仿宋" w:hAnsi="仿宋" w:eastAsia="仿宋" w:cs="华文仿宋"/>
          <w:b/>
          <w:bCs/>
          <w:kern w:val="0"/>
          <w:sz w:val="32"/>
          <w:szCs w:val="32"/>
        </w:rPr>
        <w:t>条【系统交互】</w:t>
      </w:r>
      <w:r>
        <w:rPr>
          <w:rFonts w:hint="eastAsia" w:ascii="仿宋" w:hAnsi="仿宋" w:eastAsia="仿宋" w:cs="华文仿宋"/>
          <w:bCs/>
          <w:kern w:val="0"/>
          <w:sz w:val="32"/>
          <w:szCs w:val="32"/>
        </w:rPr>
        <w:t>依托全省公共资源交易数据中台，实现交易系统与全省公共资源交易服务平台</w:t>
      </w:r>
      <w:r>
        <w:rPr>
          <w:rFonts w:hint="eastAsia" w:ascii="仿宋" w:hAnsi="仿宋" w:eastAsia="仿宋" w:cs="华文仿宋"/>
          <w:kern w:val="0"/>
          <w:sz w:val="32"/>
          <w:szCs w:val="32"/>
        </w:rPr>
        <w:t>（以下简称“交易服务平台”）</w:t>
      </w:r>
      <w:r>
        <w:rPr>
          <w:rFonts w:hint="eastAsia" w:ascii="仿宋" w:hAnsi="仿宋" w:eastAsia="仿宋" w:cs="华文仿宋"/>
          <w:bCs/>
          <w:kern w:val="0"/>
          <w:sz w:val="32"/>
          <w:szCs w:val="32"/>
        </w:rPr>
        <w:t>和全省公共资源交易行政监督平台</w:t>
      </w:r>
      <w:r>
        <w:rPr>
          <w:rFonts w:hint="eastAsia" w:ascii="仿宋" w:hAnsi="仿宋" w:eastAsia="仿宋" w:cs="华文仿宋"/>
          <w:kern w:val="0"/>
          <w:sz w:val="32"/>
          <w:szCs w:val="32"/>
        </w:rPr>
        <w:t>（以下简称“</w:t>
      </w:r>
      <w:r>
        <w:rPr>
          <w:rFonts w:hint="eastAsia" w:ascii="仿宋" w:hAnsi="仿宋" w:eastAsia="仿宋" w:cs="华文仿宋"/>
          <w:bCs/>
          <w:kern w:val="0"/>
          <w:sz w:val="32"/>
          <w:szCs w:val="32"/>
        </w:rPr>
        <w:t>行政监督平台</w:t>
      </w:r>
      <w:r>
        <w:rPr>
          <w:rFonts w:hint="eastAsia" w:ascii="仿宋" w:hAnsi="仿宋" w:eastAsia="仿宋" w:cs="华文仿宋"/>
          <w:kern w:val="0"/>
          <w:sz w:val="32"/>
          <w:szCs w:val="32"/>
        </w:rPr>
        <w:t>”）</w:t>
      </w:r>
      <w:r>
        <w:rPr>
          <w:rFonts w:hint="eastAsia" w:ascii="仿宋" w:hAnsi="仿宋" w:eastAsia="仿宋" w:cs="华文仿宋"/>
          <w:bCs/>
          <w:kern w:val="0"/>
          <w:sz w:val="32"/>
          <w:szCs w:val="32"/>
        </w:rPr>
        <w:t>的无缝对接及全过程交易数据实时共享互认，并实现与交易中心业务系统和其他服务系统的互联互通、协同联动。</w:t>
      </w:r>
    </w:p>
    <w:p>
      <w:pPr>
        <w:spacing w:line="360" w:lineRule="auto"/>
        <w:ind w:firstLine="643" w:firstLineChars="200"/>
        <w:rPr>
          <w:rFonts w:ascii="仿宋" w:hAnsi="仿宋" w:eastAsia="仿宋"/>
          <w:sz w:val="32"/>
          <w:szCs w:val="32"/>
          <w:lang w:val="en"/>
        </w:rPr>
      </w:pPr>
      <w:r>
        <w:rPr>
          <w:rFonts w:hint="eastAsia" w:ascii="仿宋" w:hAnsi="仿宋" w:eastAsia="仿宋" w:cs="华文仿宋"/>
          <w:b/>
          <w:bCs/>
          <w:sz w:val="32"/>
          <w:szCs w:val="32"/>
          <w:lang w:val="en"/>
        </w:rPr>
        <w:t>第七</w:t>
      </w:r>
      <w:r>
        <w:rPr>
          <w:rFonts w:hint="eastAsia" w:ascii="仿宋" w:hAnsi="仿宋" w:eastAsia="仿宋" w:cs="华文仿宋"/>
          <w:b/>
          <w:bCs/>
          <w:sz w:val="32"/>
          <w:szCs w:val="32"/>
        </w:rPr>
        <w:t>条【后台管理】</w:t>
      </w:r>
      <w:r>
        <w:rPr>
          <w:rFonts w:hint="eastAsia" w:ascii="仿宋" w:hAnsi="仿宋" w:eastAsia="仿宋" w:cs="华文仿宋"/>
          <w:bCs/>
          <w:sz w:val="32"/>
          <w:szCs w:val="32"/>
        </w:rPr>
        <w:t>实施严格的交易系统后台安全管控机制，交易中心应当从系统开发单位收回并掌握系统后台密钥，建立系统后台访问审批机制，不断加强安全管理、强化安全加固，严格管控系统后台访问、操作，实现密钥代码多人分段共同管理。</w:t>
      </w:r>
    </w:p>
    <w:p>
      <w:pPr>
        <w:spacing w:after="120" w:line="360" w:lineRule="auto"/>
        <w:rPr>
          <w:kern w:val="0"/>
          <w:szCs w:val="24"/>
        </w:rPr>
      </w:pPr>
      <w:r>
        <w:rPr>
          <w:rFonts w:hint="eastAsia" w:ascii="仿宋" w:hAnsi="仿宋" w:eastAsia="仿宋" w:cs="华文仿宋"/>
          <w:b/>
          <w:bCs/>
          <w:kern w:val="0"/>
          <w:sz w:val="32"/>
          <w:szCs w:val="32"/>
        </w:rPr>
        <w:t xml:space="preserve">    第八条【交易服务】</w:t>
      </w:r>
      <w:r>
        <w:rPr>
          <w:rFonts w:hint="eastAsia" w:ascii="仿宋" w:hAnsi="仿宋" w:eastAsia="仿宋" w:cs="仿宋"/>
          <w:kern w:val="0"/>
          <w:sz w:val="32"/>
          <w:szCs w:val="32"/>
        </w:rPr>
        <w:t>按照无差别、无障碍原则，贯穿交易</w:t>
      </w:r>
      <w:r>
        <w:rPr>
          <w:rFonts w:hint="eastAsia" w:ascii="仿宋" w:hAnsi="仿宋" w:eastAsia="仿宋" w:cs="华文仿宋"/>
          <w:kern w:val="0"/>
          <w:sz w:val="32"/>
          <w:szCs w:val="32"/>
          <w:lang w:val="en"/>
        </w:rPr>
        <w:t>全环节，交易中心应当提供与交易系统相配套的投标保证金、电子保函、</w:t>
      </w:r>
      <w:r>
        <w:rPr>
          <w:rFonts w:hint="eastAsia" w:ascii="仿宋" w:hAnsi="仿宋" w:eastAsia="仿宋" w:cs="华文仿宋"/>
          <w:kern w:val="0"/>
          <w:sz w:val="32"/>
          <w:szCs w:val="32"/>
        </w:rPr>
        <w:t>专家评标费支付</w:t>
      </w:r>
      <w:r>
        <w:rPr>
          <w:rFonts w:hint="eastAsia" w:ascii="仿宋" w:hAnsi="仿宋" w:eastAsia="仿宋" w:cs="华文仿宋"/>
          <w:kern w:val="0"/>
          <w:sz w:val="32"/>
          <w:szCs w:val="32"/>
          <w:lang w:val="en"/>
        </w:rPr>
        <w:t>等全流程精细化服务保障</w:t>
      </w:r>
      <w:r>
        <w:rPr>
          <w:rFonts w:hint="eastAsia" w:ascii="华文仿宋" w:hAnsi="华文仿宋" w:eastAsia="华文仿宋" w:cs="华文仿宋"/>
          <w:kern w:val="0"/>
          <w:sz w:val="32"/>
          <w:szCs w:val="32"/>
          <w:lang w:val="en"/>
        </w:rPr>
        <w:t>。</w:t>
      </w:r>
    </w:p>
    <w:p>
      <w:pPr>
        <w:shd w:val="clear" w:color="auto" w:fill="FFFFFF"/>
        <w:spacing w:line="360" w:lineRule="auto"/>
        <w:jc w:val="center"/>
        <w:rPr>
          <w:rFonts w:ascii="华文仿宋" w:hAnsi="华文仿宋" w:eastAsia="华文仿宋" w:cs="华文仿宋"/>
          <w:b/>
          <w:bCs/>
          <w:sz w:val="32"/>
          <w:szCs w:val="32"/>
        </w:rPr>
      </w:pPr>
      <w:r>
        <w:rPr>
          <w:rFonts w:hint="eastAsia" w:ascii="黑体" w:hAnsi="黑体" w:eastAsia="黑体" w:cs="黑体"/>
          <w:kern w:val="0"/>
          <w:sz w:val="32"/>
          <w:szCs w:val="32"/>
        </w:rPr>
        <w:t>第二章 市场主体注册登记</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sz w:val="32"/>
          <w:szCs w:val="32"/>
        </w:rPr>
        <w:t>第九条【注册登记】</w:t>
      </w:r>
      <w:r>
        <w:rPr>
          <w:rFonts w:hint="eastAsia" w:ascii="仿宋" w:hAnsi="仿宋" w:eastAsia="仿宋" w:cs="华文仿宋"/>
          <w:bCs/>
          <w:sz w:val="32"/>
          <w:szCs w:val="32"/>
        </w:rPr>
        <w:t>首次进入</w:t>
      </w:r>
      <w:r>
        <w:rPr>
          <w:rFonts w:hint="eastAsia" w:ascii="仿宋" w:hAnsi="仿宋" w:eastAsia="仿宋" w:cs="仿宋"/>
          <w:sz w:val="32"/>
          <w:szCs w:val="32"/>
        </w:rPr>
        <w:t>湖南省公共资源交易平台的市场主体（含招标人、招标代理机构、投标人，下同）需登录交易服务平台进行统一注册，进入网上办事大厅 “市场主体统一注册”模块并根据相关提示进行注册信息填写，完成在线注册</w:t>
      </w:r>
      <w:r>
        <w:rPr>
          <w:rFonts w:hint="eastAsia" w:ascii="仿宋" w:hAnsi="仿宋" w:eastAsia="仿宋"/>
          <w:sz w:val="32"/>
          <w:szCs w:val="32"/>
        </w:rPr>
        <w:t>登记</w:t>
      </w:r>
      <w:r>
        <w:rPr>
          <w:rFonts w:hint="eastAsia" w:ascii="仿宋" w:hAnsi="仿宋" w:eastAsia="仿宋" w:cs="仿宋"/>
          <w:sz w:val="32"/>
          <w:szCs w:val="32"/>
        </w:rPr>
        <w:t>工作。未完成注册登记的市场主体将无法进行招投标交易活动。</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sz w:val="32"/>
          <w:szCs w:val="32"/>
        </w:rPr>
        <w:t>第十条【CA办理】</w:t>
      </w:r>
      <w:r>
        <w:rPr>
          <w:rFonts w:hint="eastAsia" w:ascii="仿宋" w:hAnsi="仿宋" w:eastAsia="仿宋" w:cs="华文仿宋"/>
          <w:bCs/>
          <w:sz w:val="32"/>
          <w:szCs w:val="32"/>
        </w:rPr>
        <w:t>完成首次注册登记的市场主体需登录交易服务平台</w:t>
      </w:r>
      <w:r>
        <w:rPr>
          <w:rFonts w:hint="eastAsia" w:ascii="仿宋" w:hAnsi="仿宋" w:eastAsia="仿宋" w:cs="仿宋"/>
          <w:sz w:val="32"/>
          <w:szCs w:val="32"/>
        </w:rPr>
        <w:t>网上办事大厅“CA证书办理”模块，按照指引自行选择CA数字证书提供商办理CA数字证书，相关注册信息由“市场主体统一注册”模块</w:t>
      </w:r>
      <w:r>
        <w:rPr>
          <w:rFonts w:hint="eastAsia" w:ascii="仿宋" w:hAnsi="仿宋" w:eastAsia="仿宋"/>
          <w:sz w:val="32"/>
          <w:szCs w:val="32"/>
        </w:rPr>
        <w:t>直接推送至拟办理CA数字证书的</w:t>
      </w:r>
      <w:r>
        <w:rPr>
          <w:rFonts w:hint="eastAsia" w:ascii="仿宋" w:hAnsi="仿宋" w:eastAsia="仿宋" w:cs="仿宋"/>
          <w:sz w:val="32"/>
          <w:szCs w:val="32"/>
        </w:rPr>
        <w:t>提供商，办理后的</w:t>
      </w:r>
      <w:r>
        <w:rPr>
          <w:rFonts w:hint="eastAsia" w:ascii="仿宋" w:hAnsi="仿宋" w:eastAsia="仿宋"/>
          <w:sz w:val="32"/>
          <w:szCs w:val="32"/>
        </w:rPr>
        <w:t>CA数字证书</w:t>
      </w:r>
      <w:r>
        <w:rPr>
          <w:rFonts w:hint="eastAsia" w:ascii="仿宋" w:hAnsi="仿宋" w:eastAsia="仿宋" w:cs="仿宋"/>
          <w:sz w:val="32"/>
          <w:szCs w:val="32"/>
        </w:rPr>
        <w:t>自动绑定用户账号，即可在交易系统登录使用。未办理CA数字证书的，将无法登录交易系统，且无法进行招投标文件编制、投标文件加解密以及加盖电子签章等一系列操作。</w:t>
      </w:r>
    </w:p>
    <w:p>
      <w:pPr>
        <w:shd w:val="clear" w:color="auto" w:fill="FFFFFF"/>
        <w:spacing w:line="360" w:lineRule="auto"/>
        <w:jc w:val="center"/>
        <w:rPr>
          <w:rFonts w:ascii="华文仿宋" w:hAnsi="华文仿宋" w:eastAsia="华文仿宋" w:cs="华文仿宋"/>
          <w:b/>
          <w:bCs/>
          <w:sz w:val="32"/>
          <w:szCs w:val="32"/>
        </w:rPr>
      </w:pPr>
      <w:r>
        <w:rPr>
          <w:rFonts w:hint="eastAsia" w:ascii="黑体" w:hAnsi="黑体" w:eastAsia="黑体" w:cs="黑体"/>
          <w:kern w:val="0"/>
          <w:sz w:val="32"/>
          <w:szCs w:val="32"/>
        </w:rPr>
        <w:t>第三章 招标文件编制与备案</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sz w:val="32"/>
          <w:szCs w:val="32"/>
        </w:rPr>
        <w:t>第十一条【</w:t>
      </w:r>
      <w:bookmarkStart w:id="0" w:name="_Toc137025140"/>
      <w:r>
        <w:rPr>
          <w:rFonts w:hint="eastAsia" w:ascii="仿宋" w:hAnsi="仿宋" w:eastAsia="仿宋" w:cs="华文仿宋"/>
          <w:b/>
          <w:bCs/>
          <w:sz w:val="32"/>
          <w:szCs w:val="32"/>
        </w:rPr>
        <w:t>项目信息</w:t>
      </w:r>
      <w:bookmarkEnd w:id="0"/>
      <w:r>
        <w:rPr>
          <w:rFonts w:hint="eastAsia" w:ascii="仿宋" w:hAnsi="仿宋" w:eastAsia="仿宋" w:cs="华文仿宋"/>
          <w:b/>
          <w:bCs/>
          <w:sz w:val="32"/>
          <w:szCs w:val="32"/>
        </w:rPr>
        <w:t>登记】</w:t>
      </w:r>
      <w:r>
        <w:rPr>
          <w:rFonts w:hint="eastAsia" w:ascii="仿宋" w:hAnsi="仿宋" w:eastAsia="仿宋"/>
          <w:sz w:val="32"/>
          <w:szCs w:val="32"/>
        </w:rPr>
        <w:t>招标人登录交易系统“项目注册”模块进行工程建设项目的注册登记，按照模块指引要求填报（或自动获取）整体项目基本信息、招标人信息、立项批文或项目审批文件等，项目注册完成后，由招标人委托的招标代理机构登录交易系统“招标项目”模块新建招标项目，按名称搜索和挑选工程建设项目，填报项目标段信息、交易项目相关附件等</w:t>
      </w:r>
      <w:r>
        <w:rPr>
          <w:rFonts w:hint="eastAsia" w:ascii="仿宋" w:hAnsi="仿宋" w:eastAsia="仿宋" w:cs="仿宋"/>
          <w:sz w:val="32"/>
          <w:szCs w:val="32"/>
        </w:rPr>
        <w:t>资料后保存提交。</w:t>
      </w:r>
    </w:p>
    <w:p>
      <w:pPr>
        <w:spacing w:line="360" w:lineRule="auto"/>
        <w:ind w:firstLine="640" w:firstLineChars="200"/>
        <w:rPr>
          <w:rFonts w:ascii="仿宋" w:hAnsi="仿宋" w:eastAsia="仿宋" w:cs="仿宋"/>
          <w:sz w:val="32"/>
          <w:szCs w:val="32"/>
        </w:rPr>
      </w:pPr>
      <w:r>
        <w:rPr>
          <w:rFonts w:hint="eastAsia" w:ascii="仿宋" w:hAnsi="仿宋" w:eastAsia="仿宋"/>
          <w:sz w:val="32"/>
          <w:szCs w:val="32"/>
        </w:rPr>
        <w:t>招标人和招标代理机构自行对填写登记信息的准确性、真实性负责，出现信息填报错误的，自行登录交易系统发起登记信息更正操作，如果是招标代理机构出现信息填报错误，其更正信息需由招标人进行确认。</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第十</w:t>
      </w:r>
      <w:r>
        <w:rPr>
          <w:rFonts w:ascii="仿宋" w:hAnsi="仿宋" w:eastAsia="仿宋" w:cs="华文仿宋"/>
          <w:b/>
          <w:bCs/>
          <w:sz w:val="32"/>
          <w:szCs w:val="32"/>
          <w:lang w:val="en"/>
        </w:rPr>
        <w:t>二</w:t>
      </w:r>
      <w:r>
        <w:rPr>
          <w:rFonts w:hint="eastAsia" w:ascii="仿宋" w:hAnsi="仿宋" w:eastAsia="仿宋" w:cs="华文仿宋"/>
          <w:b/>
          <w:bCs/>
          <w:kern w:val="0"/>
          <w:sz w:val="32"/>
          <w:szCs w:val="32"/>
        </w:rPr>
        <w:t>条【招标文件制作要求】</w:t>
      </w:r>
      <w:r>
        <w:rPr>
          <w:rFonts w:hint="eastAsia" w:ascii="仿宋" w:hAnsi="仿宋" w:eastAsia="仿宋" w:cs="仿宋"/>
          <w:sz w:val="32"/>
          <w:szCs w:val="32"/>
        </w:rPr>
        <w:t>招标代理机构（或招标人，下同）登录交易系统后，需根据项目备案部门选择所属行业招标文件范本制作招标文件，并按照与该范本相匹配的电子流程明确相关事项设置（如明确远程异地评标、抽取下浮点、评审分数计算公式、主客观分评审点性质等的设置），否则将导致后续场地预约、评标无法进行或评审错误。</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第十</w:t>
      </w:r>
      <w:r>
        <w:rPr>
          <w:rFonts w:hint="eastAsia" w:ascii="仿宋" w:hAnsi="仿宋" w:eastAsia="仿宋" w:cs="华文仿宋"/>
          <w:b/>
          <w:bCs/>
          <w:sz w:val="32"/>
          <w:szCs w:val="32"/>
          <w:lang w:val="en"/>
        </w:rPr>
        <w:t>三</w:t>
      </w:r>
      <w:r>
        <w:rPr>
          <w:rFonts w:hint="eastAsia" w:ascii="仿宋" w:hAnsi="仿宋" w:eastAsia="仿宋" w:cs="华文仿宋"/>
          <w:b/>
          <w:bCs/>
          <w:kern w:val="0"/>
          <w:sz w:val="32"/>
          <w:szCs w:val="32"/>
        </w:rPr>
        <w:t>条【招标文件备案要求】</w:t>
      </w:r>
      <w:r>
        <w:rPr>
          <w:rFonts w:hint="eastAsia" w:ascii="仿宋" w:hAnsi="仿宋" w:eastAsia="仿宋" w:cs="仿宋"/>
          <w:sz w:val="32"/>
          <w:szCs w:val="32"/>
        </w:rPr>
        <w:t>招标代理机构提交完整的招标文件（含招标公告、工程量清单及相关附件）经招标人审查并采用CA数字证书确认后，通过交易系统将相关信息推送至行政监督平台招标文件备案模块，由行政监督部门按照规定流程进行审核备案，备案通过后相关信息返回推送至交易系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如果出现招标文件编制内容与电子流程匹配错误，需按下列流程进行操作处理：项目电子招标文件未进入行政监督部门备案节点前由招标代理机构自行操作修改，项目电子招标文件已进入行政监督部门备案节点或已完成备案的由行政监督部门点击回退后再由招标代理机构进行修改。</w:t>
      </w:r>
    </w:p>
    <w:p>
      <w:pPr>
        <w:widowControl/>
        <w:autoSpaceDE w:val="0"/>
        <w:autoSpaceDN w:val="0"/>
        <w:spacing w:line="360" w:lineRule="auto"/>
        <w:ind w:firstLine="200"/>
        <w:jc w:val="center"/>
        <w:rPr>
          <w:rFonts w:ascii="黑体" w:hAnsi="黑体" w:eastAsia="黑体" w:cs="黑体"/>
          <w:kern w:val="0"/>
          <w:sz w:val="32"/>
          <w:szCs w:val="32"/>
        </w:rPr>
      </w:pPr>
      <w:r>
        <w:rPr>
          <w:rFonts w:hint="eastAsia" w:ascii="黑体" w:hAnsi="黑体" w:eastAsia="黑体" w:cs="黑体"/>
          <w:kern w:val="0"/>
          <w:sz w:val="32"/>
          <w:szCs w:val="32"/>
        </w:rPr>
        <w:t>第四章 项目受理与招标信息发布</w:t>
      </w:r>
    </w:p>
    <w:p>
      <w:pPr>
        <w:spacing w:line="360" w:lineRule="auto"/>
        <w:ind w:firstLine="643" w:firstLineChars="200"/>
        <w:rPr>
          <w:rFonts w:ascii="仿宋" w:hAnsi="仿宋" w:eastAsia="仿宋" w:cs="华文仿宋"/>
          <w:bCs/>
          <w:sz w:val="32"/>
          <w:szCs w:val="32"/>
        </w:rPr>
      </w:pPr>
      <w:r>
        <w:rPr>
          <w:rFonts w:hint="eastAsia" w:ascii="仿宋" w:hAnsi="仿宋" w:eastAsia="仿宋" w:cs="华文仿宋"/>
          <w:b/>
          <w:bCs/>
          <w:sz w:val="32"/>
          <w:szCs w:val="32"/>
        </w:rPr>
        <w:t>第十</w:t>
      </w:r>
      <w:r>
        <w:rPr>
          <w:rFonts w:hint="eastAsia" w:ascii="仿宋" w:hAnsi="仿宋" w:eastAsia="仿宋" w:cs="华文仿宋"/>
          <w:b/>
          <w:bCs/>
          <w:kern w:val="0"/>
          <w:sz w:val="32"/>
          <w:szCs w:val="32"/>
        </w:rPr>
        <w:t>四</w:t>
      </w:r>
      <w:r>
        <w:rPr>
          <w:rFonts w:hint="eastAsia" w:ascii="仿宋" w:hAnsi="仿宋" w:eastAsia="仿宋" w:cs="华文仿宋"/>
          <w:b/>
          <w:bCs/>
          <w:sz w:val="32"/>
          <w:szCs w:val="32"/>
        </w:rPr>
        <w:t>条【</w:t>
      </w:r>
      <w:r>
        <w:rPr>
          <w:rFonts w:hint="eastAsia" w:ascii="仿宋" w:hAnsi="仿宋" w:eastAsia="仿宋" w:cs="华文仿宋"/>
          <w:b/>
          <w:bCs/>
          <w:kern w:val="0"/>
          <w:sz w:val="32"/>
          <w:szCs w:val="32"/>
        </w:rPr>
        <w:t>项目提交</w:t>
      </w:r>
      <w:r>
        <w:rPr>
          <w:rFonts w:hint="eastAsia" w:ascii="仿宋" w:hAnsi="仿宋" w:eastAsia="仿宋" w:cs="华文仿宋"/>
          <w:b/>
          <w:bCs/>
          <w:sz w:val="32"/>
          <w:szCs w:val="32"/>
        </w:rPr>
        <w:t>】</w:t>
      </w:r>
      <w:r>
        <w:rPr>
          <w:rFonts w:hint="eastAsia" w:ascii="仿宋" w:hAnsi="仿宋" w:eastAsia="仿宋" w:cs="华文仿宋"/>
          <w:bCs/>
          <w:sz w:val="32"/>
          <w:szCs w:val="32"/>
        </w:rPr>
        <w:t>招标代理机构登录交易服务平台网上办事大厅的“全省进场交易统一受理系统”填写并提交进场项目相关资料，主要包括项目信息、委托代理协议、项目立项批文、</w:t>
      </w:r>
      <w:r>
        <w:rPr>
          <w:rFonts w:hint="eastAsia" w:ascii="仿宋" w:hAnsi="仿宋" w:eastAsia="仿宋" w:cs="仿宋"/>
          <w:sz w:val="32"/>
          <w:szCs w:val="32"/>
        </w:rPr>
        <w:t>招标文件（含招标公告、工程量清单及相关附件）及交易项目相关附件等，项目信息登记时已经填报的信息将</w:t>
      </w:r>
      <w:r>
        <w:rPr>
          <w:rFonts w:hint="eastAsia" w:ascii="仿宋" w:hAnsi="仿宋" w:eastAsia="仿宋" w:cs="华文仿宋"/>
          <w:bCs/>
          <w:sz w:val="32"/>
          <w:szCs w:val="32"/>
        </w:rPr>
        <w:t>自动推送获取。</w:t>
      </w:r>
      <w:r>
        <w:rPr>
          <w:rFonts w:hint="eastAsia" w:ascii="仿宋" w:hAnsi="仿宋" w:eastAsia="仿宋"/>
          <w:sz w:val="32"/>
          <w:szCs w:val="32"/>
        </w:rPr>
        <w:t>各市州不应擅自增加项目受理材料。</w:t>
      </w:r>
    </w:p>
    <w:p>
      <w:pPr>
        <w:widowControl/>
        <w:autoSpaceDE w:val="0"/>
        <w:autoSpaceDN w:val="0"/>
        <w:ind w:firstLine="681" w:firstLineChars="212"/>
        <w:rPr>
          <w:rFonts w:ascii="仿宋" w:hAnsi="仿宋" w:eastAsia="仿宋" w:cs="仿宋"/>
          <w:kern w:val="0"/>
          <w:sz w:val="32"/>
          <w:szCs w:val="32"/>
        </w:rPr>
      </w:pPr>
      <w:r>
        <w:rPr>
          <w:rFonts w:hint="eastAsia" w:ascii="仿宋" w:hAnsi="仿宋" w:eastAsia="仿宋" w:cs="华文仿宋"/>
          <w:b/>
          <w:bCs/>
          <w:kern w:val="0"/>
          <w:sz w:val="32"/>
          <w:szCs w:val="32"/>
        </w:rPr>
        <w:t>第十五条【</w:t>
      </w:r>
      <w:bookmarkStart w:id="1" w:name="_Toc137025142"/>
      <w:r>
        <w:rPr>
          <w:rFonts w:hint="eastAsia" w:ascii="仿宋" w:hAnsi="仿宋" w:eastAsia="仿宋" w:cs="华文仿宋"/>
          <w:b/>
          <w:bCs/>
          <w:kern w:val="0"/>
          <w:sz w:val="32"/>
          <w:szCs w:val="32"/>
        </w:rPr>
        <w:t>场地</w:t>
      </w:r>
      <w:bookmarkEnd w:id="1"/>
      <w:r>
        <w:rPr>
          <w:rFonts w:hint="eastAsia" w:ascii="仿宋" w:hAnsi="仿宋" w:eastAsia="仿宋" w:cs="华文仿宋"/>
          <w:b/>
          <w:bCs/>
          <w:kern w:val="0"/>
          <w:sz w:val="32"/>
          <w:szCs w:val="32"/>
        </w:rPr>
        <w:t>预约】</w:t>
      </w:r>
      <w:r>
        <w:rPr>
          <w:rFonts w:hint="eastAsia" w:ascii="仿宋" w:hAnsi="仿宋" w:eastAsia="仿宋" w:cs="华文仿宋"/>
          <w:bCs/>
          <w:kern w:val="0"/>
          <w:sz w:val="32"/>
          <w:szCs w:val="32"/>
        </w:rPr>
        <w:t>招标代理机构在填报进场项目相关资料的同时，需预约开标时间和场地。交易中心开标室资源（席位）应开</w:t>
      </w:r>
      <w:r>
        <w:rPr>
          <w:rFonts w:hint="eastAsia" w:ascii="仿宋" w:hAnsi="仿宋" w:eastAsia="仿宋"/>
          <w:color w:val="000000"/>
          <w:kern w:val="0"/>
          <w:sz w:val="32"/>
          <w:szCs w:val="32"/>
        </w:rPr>
        <w:t>放网上预约，</w:t>
      </w:r>
      <w:r>
        <w:rPr>
          <w:rFonts w:hint="eastAsia" w:ascii="仿宋" w:hAnsi="仿宋" w:eastAsia="仿宋" w:cs="华文仿宋"/>
          <w:bCs/>
          <w:kern w:val="0"/>
          <w:sz w:val="32"/>
          <w:szCs w:val="32"/>
        </w:rPr>
        <w:t>招标代理机构网上自行选择开标时间，</w:t>
      </w:r>
      <w:r>
        <w:rPr>
          <w:rFonts w:hint="eastAsia" w:ascii="仿宋" w:hAnsi="仿宋" w:eastAsia="仿宋" w:cs="仿宋"/>
          <w:kern w:val="0"/>
          <w:sz w:val="32"/>
          <w:szCs w:val="32"/>
        </w:rPr>
        <w:t>若该时间的开标场地全部占满，需顺延开标时间。选定开标时间后，需同步填写</w:t>
      </w:r>
      <w:r>
        <w:rPr>
          <w:rFonts w:hint="eastAsia" w:ascii="仿宋" w:hAnsi="仿宋" w:eastAsia="仿宋"/>
          <w:kern w:val="0"/>
          <w:sz w:val="32"/>
          <w:szCs w:val="32"/>
        </w:rPr>
        <w:t>场地预约信息（包括</w:t>
      </w:r>
      <w:r>
        <w:rPr>
          <w:rFonts w:hint="eastAsia" w:ascii="仿宋" w:hAnsi="仿宋" w:eastAsia="仿宋" w:cs="仿宋"/>
          <w:kern w:val="0"/>
          <w:sz w:val="32"/>
          <w:szCs w:val="32"/>
        </w:rPr>
        <w:t>评标时间、预计开评标时长、</w:t>
      </w:r>
      <w:r>
        <w:rPr>
          <w:rFonts w:hint="eastAsia" w:ascii="仿宋" w:hAnsi="仿宋" w:eastAsia="仿宋"/>
          <w:kern w:val="0"/>
          <w:sz w:val="32"/>
          <w:szCs w:val="32"/>
        </w:rPr>
        <w:t>专家数量和来源信息等）、勾选场地预约特殊要求（包括多标段分组信息、</w:t>
      </w:r>
      <w:r>
        <w:rPr>
          <w:rFonts w:hint="eastAsia" w:ascii="仿宋" w:hAnsi="仿宋" w:eastAsia="仿宋" w:cs="仿宋"/>
          <w:kern w:val="0"/>
          <w:sz w:val="32"/>
          <w:szCs w:val="32"/>
        </w:rPr>
        <w:t>是否远程异地评标、是否隔夜评标、有无业主评委、有无样品、有无演示、有无特定查询网址、有无摇号机等</w:t>
      </w:r>
      <w:r>
        <w:rPr>
          <w:rFonts w:hint="eastAsia" w:ascii="仿宋" w:hAnsi="仿宋" w:eastAsia="仿宋"/>
          <w:kern w:val="0"/>
          <w:sz w:val="32"/>
          <w:szCs w:val="32"/>
        </w:rPr>
        <w:t>）</w:t>
      </w:r>
      <w:r>
        <w:rPr>
          <w:rFonts w:hint="eastAsia" w:ascii="仿宋" w:hAnsi="仿宋" w:eastAsia="仿宋" w:cs="仿宋"/>
          <w:kern w:val="0"/>
          <w:sz w:val="32"/>
          <w:szCs w:val="32"/>
        </w:rPr>
        <w:t xml:space="preserve">。 </w:t>
      </w:r>
    </w:p>
    <w:p>
      <w:pPr>
        <w:widowControl/>
        <w:autoSpaceDE w:val="0"/>
        <w:autoSpaceDN w:val="0"/>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对于多标段评审项目，招标代理机构需按照合理分组评审的原则进行场地预约信息填报，采用合理低价法的项目原则上组建1组评标委员会，采用综合评分法的项目原则上1标段组建1组评标委员会，对设计、监理采用综合评分法但潜在投标人不多、评标工作较简单的项目可视情况2个标段组建1组评标委员会，采用最低价法的项目按照行政监督部门的意见和要求组建评标委员会。</w:t>
      </w:r>
    </w:p>
    <w:p>
      <w:pPr>
        <w:widowControl/>
        <w:adjustRightInd w:val="0"/>
        <w:snapToGrid w:val="0"/>
        <w:spacing w:line="580" w:lineRule="exact"/>
        <w:ind w:firstLine="643" w:firstLineChars="200"/>
        <w:contextualSpacing/>
        <w:jc w:val="left"/>
        <w:rPr>
          <w:rFonts w:ascii="仿宋" w:hAnsi="仿宋" w:eastAsia="仿宋" w:cs="宋体"/>
          <w:color w:val="000000"/>
          <w:kern w:val="0"/>
          <w:sz w:val="32"/>
          <w:szCs w:val="32"/>
        </w:rPr>
      </w:pPr>
      <w:r>
        <w:rPr>
          <w:rFonts w:hint="eastAsia" w:ascii="仿宋" w:hAnsi="仿宋" w:eastAsia="仿宋" w:cs="华文仿宋"/>
          <w:b/>
          <w:bCs/>
          <w:sz w:val="32"/>
          <w:szCs w:val="32"/>
        </w:rPr>
        <w:t>第十六条【受理审核】</w:t>
      </w:r>
      <w:r>
        <w:rPr>
          <w:rFonts w:hint="eastAsia" w:ascii="仿宋" w:hAnsi="仿宋" w:eastAsia="仿宋" w:cs="宋体"/>
          <w:color w:val="000000"/>
          <w:kern w:val="0"/>
          <w:sz w:val="32"/>
          <w:szCs w:val="32"/>
        </w:rPr>
        <w:t>进场项目材料由招标人（采购人）自行提交，公共资源交易中心项目受理系统实行智能化系统24小时自动化受理。要件符合、信息完整的进场交易项目由系统自动完成受理。自动受理不通过，或需公共资源交易中心同意后再受理的项目实行人工受理，需人工受理的项目包括纸质标项目、异地进场项目、目录外项目、样品项目、演示项目、隔夜评标项目、分组评审项目、复评（重新评审）项目等。</w:t>
      </w:r>
    </w:p>
    <w:p>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公共资源交易中心项目受理时，不审查进场交易项目的审批文件、备案文件、招标文件等相关内容。</w:t>
      </w:r>
    </w:p>
    <w:p>
      <w:pPr>
        <w:spacing w:line="360" w:lineRule="auto"/>
        <w:ind w:firstLine="643" w:firstLineChars="200"/>
        <w:textAlignment w:val="baseline"/>
        <w:rPr>
          <w:rFonts w:ascii="仿宋" w:hAnsi="仿宋" w:eastAsia="仿宋" w:cs="仿宋"/>
          <w:sz w:val="32"/>
          <w:szCs w:val="32"/>
        </w:rPr>
      </w:pPr>
      <w:r>
        <w:rPr>
          <w:rFonts w:hint="eastAsia" w:ascii="仿宋" w:hAnsi="仿宋" w:eastAsia="仿宋" w:cs="华文仿宋"/>
          <w:b/>
          <w:bCs/>
          <w:sz w:val="32"/>
          <w:szCs w:val="32"/>
        </w:rPr>
        <w:t>第十七条【</w:t>
      </w:r>
      <w:r>
        <w:rPr>
          <w:rFonts w:hint="eastAsia" w:ascii="仿宋" w:hAnsi="仿宋" w:eastAsia="仿宋" w:cs="华文仿宋"/>
          <w:b/>
          <w:bCs/>
          <w:kern w:val="0"/>
          <w:sz w:val="32"/>
          <w:szCs w:val="32"/>
        </w:rPr>
        <w:t>场地调整</w:t>
      </w:r>
      <w:r>
        <w:rPr>
          <w:rFonts w:hint="eastAsia" w:ascii="仿宋" w:hAnsi="仿宋" w:eastAsia="仿宋" w:cs="华文仿宋"/>
          <w:b/>
          <w:bCs/>
          <w:sz w:val="32"/>
          <w:szCs w:val="32"/>
        </w:rPr>
        <w:t>】</w:t>
      </w:r>
      <w:r>
        <w:rPr>
          <w:rFonts w:hint="eastAsia" w:ascii="仿宋" w:hAnsi="仿宋" w:eastAsia="仿宋" w:cs="华文仿宋"/>
          <w:bCs/>
          <w:sz w:val="32"/>
          <w:szCs w:val="32"/>
        </w:rPr>
        <w:t>招标代理机构</w:t>
      </w:r>
      <w:r>
        <w:rPr>
          <w:rFonts w:hint="eastAsia" w:ascii="仿宋" w:hAnsi="仿宋" w:eastAsia="仿宋"/>
          <w:sz w:val="32"/>
          <w:szCs w:val="32"/>
        </w:rPr>
        <w:t>完成项目提交、场地预约等工作后，如果项目情况发生变化，确</w:t>
      </w:r>
      <w:r>
        <w:rPr>
          <w:rFonts w:hint="eastAsia" w:ascii="仿宋" w:hAnsi="仿宋" w:eastAsia="仿宋" w:cs="仿宋"/>
          <w:sz w:val="32"/>
          <w:szCs w:val="32"/>
        </w:rPr>
        <w:t>需调整开评标时间或终止开评标的，</w:t>
      </w:r>
      <w:r>
        <w:rPr>
          <w:rFonts w:hint="eastAsia" w:ascii="仿宋" w:hAnsi="仿宋" w:eastAsia="仿宋"/>
          <w:sz w:val="32"/>
          <w:szCs w:val="32"/>
        </w:rPr>
        <w:t>需及时</w:t>
      </w:r>
      <w:r>
        <w:rPr>
          <w:rFonts w:hint="eastAsia" w:ascii="仿宋" w:hAnsi="仿宋" w:eastAsia="仿宋" w:cs="华文仿宋"/>
          <w:bCs/>
          <w:sz w:val="32"/>
          <w:szCs w:val="32"/>
        </w:rPr>
        <w:t>登录“全省进场交易统一受理系统”</w:t>
      </w:r>
      <w:r>
        <w:rPr>
          <w:rFonts w:hint="eastAsia" w:ascii="仿宋" w:hAnsi="仿宋" w:eastAsia="仿宋"/>
          <w:sz w:val="32"/>
          <w:szCs w:val="32"/>
        </w:rPr>
        <w:t>重新预约场地或退订开评标场地，经招标人、行政监督部门线上审批变更公告后，</w:t>
      </w:r>
      <w:r>
        <w:rPr>
          <w:rFonts w:hint="eastAsia" w:ascii="仿宋" w:hAnsi="仿宋" w:eastAsia="仿宋" w:cs="仿宋"/>
          <w:sz w:val="32"/>
          <w:szCs w:val="32"/>
        </w:rPr>
        <w:t>交易中心工作人员点击确认，完成场地重新预约或退订。</w:t>
      </w:r>
    </w:p>
    <w:p>
      <w:pPr>
        <w:spacing w:line="360" w:lineRule="auto"/>
        <w:ind w:firstLine="643" w:firstLineChars="200"/>
        <w:rPr>
          <w:rFonts w:ascii="仿宋" w:hAnsi="仿宋" w:eastAsia="仿宋" w:cs="华文仿宋"/>
          <w:b/>
          <w:bCs/>
          <w:kern w:val="0"/>
          <w:sz w:val="32"/>
          <w:szCs w:val="32"/>
        </w:rPr>
      </w:pPr>
      <w:r>
        <w:rPr>
          <w:rFonts w:hint="eastAsia" w:ascii="仿宋" w:hAnsi="仿宋" w:eastAsia="仿宋" w:cs="华文仿宋"/>
          <w:b/>
          <w:bCs/>
          <w:kern w:val="0"/>
          <w:sz w:val="32"/>
          <w:szCs w:val="32"/>
        </w:rPr>
        <w:t>第十</w:t>
      </w:r>
      <w:r>
        <w:rPr>
          <w:rFonts w:hint="eastAsia" w:ascii="仿宋" w:hAnsi="仿宋" w:eastAsia="仿宋" w:cs="华文仿宋"/>
          <w:b/>
          <w:bCs/>
          <w:sz w:val="32"/>
          <w:szCs w:val="32"/>
        </w:rPr>
        <w:t>八</w:t>
      </w:r>
      <w:r>
        <w:rPr>
          <w:rFonts w:hint="eastAsia" w:ascii="仿宋" w:hAnsi="仿宋" w:eastAsia="仿宋" w:cs="华文仿宋"/>
          <w:b/>
          <w:bCs/>
          <w:kern w:val="0"/>
          <w:sz w:val="32"/>
          <w:szCs w:val="32"/>
        </w:rPr>
        <w:t>条【总体依据】</w:t>
      </w:r>
      <w:r>
        <w:rPr>
          <w:rFonts w:hint="eastAsia" w:ascii="仿宋" w:hAnsi="仿宋" w:eastAsia="仿宋" w:cs="华文仿宋"/>
          <w:sz w:val="32"/>
          <w:szCs w:val="32"/>
        </w:rPr>
        <w:t>项目受理未尽事宜按照省公共资源交易中心发布的《湖南省公共资源交易平台进场交易项目受理系统运行导则》执行。</w:t>
      </w:r>
    </w:p>
    <w:p>
      <w:pPr>
        <w:spacing w:line="360" w:lineRule="auto"/>
        <w:ind w:firstLine="643" w:firstLineChars="200"/>
        <w:rPr>
          <w:rFonts w:ascii="仿宋" w:hAnsi="仿宋" w:eastAsia="仿宋" w:cs="华文仿宋"/>
          <w:b/>
          <w:bCs/>
          <w:kern w:val="0"/>
          <w:sz w:val="32"/>
          <w:szCs w:val="32"/>
        </w:rPr>
      </w:pPr>
      <w:r>
        <w:rPr>
          <w:rFonts w:hint="eastAsia" w:ascii="仿宋" w:hAnsi="仿宋" w:eastAsia="仿宋" w:cs="华文仿宋"/>
          <w:b/>
          <w:bCs/>
          <w:kern w:val="0"/>
          <w:sz w:val="32"/>
          <w:szCs w:val="32"/>
        </w:rPr>
        <w:t>第十</w:t>
      </w:r>
      <w:r>
        <w:rPr>
          <w:rFonts w:hint="eastAsia" w:ascii="仿宋" w:hAnsi="仿宋" w:eastAsia="仿宋" w:cs="华文仿宋"/>
          <w:b/>
          <w:bCs/>
          <w:sz w:val="32"/>
          <w:szCs w:val="32"/>
        </w:rPr>
        <w:t>九</w:t>
      </w:r>
      <w:r>
        <w:rPr>
          <w:rFonts w:hint="eastAsia" w:ascii="仿宋" w:hAnsi="仿宋" w:eastAsia="仿宋" w:cs="华文仿宋"/>
          <w:b/>
          <w:bCs/>
          <w:kern w:val="0"/>
          <w:sz w:val="32"/>
          <w:szCs w:val="32"/>
        </w:rPr>
        <w:t>条【招标公告发布】</w:t>
      </w:r>
      <w:r>
        <w:rPr>
          <w:rFonts w:hint="eastAsia" w:ascii="仿宋" w:hAnsi="仿宋" w:eastAsia="仿宋" w:cs="仿宋"/>
          <w:sz w:val="32"/>
          <w:szCs w:val="32"/>
        </w:rPr>
        <w:t>招标项目进场受理完成后，招标代理机构在交易系统中“招标公告”模块点击“</w:t>
      </w:r>
      <w:r>
        <w:rPr>
          <w:rFonts w:ascii="仿宋" w:hAnsi="仿宋" w:eastAsia="仿宋" w:cs="仿宋"/>
          <w:sz w:val="32"/>
          <w:szCs w:val="32"/>
        </w:rPr>
        <w:t>新增招标公告</w:t>
      </w:r>
      <w:r>
        <w:rPr>
          <w:rFonts w:hint="eastAsia" w:ascii="仿宋" w:hAnsi="仿宋" w:eastAsia="仿宋" w:cs="仿宋"/>
          <w:sz w:val="32"/>
          <w:szCs w:val="32"/>
        </w:rPr>
        <w:t>”按键，将招标公告和招标文件（含招标文件文本、工程量清单及相关附件）在湖南省招标投标监管网和交易服务平台同步对外发布，发布的内容必须确保完全一致。</w:t>
      </w:r>
    </w:p>
    <w:p>
      <w:pPr>
        <w:spacing w:line="360" w:lineRule="auto"/>
        <w:ind w:firstLine="643" w:firstLineChars="200"/>
        <w:rPr>
          <w:rFonts w:ascii="仿宋" w:hAnsi="仿宋" w:eastAsia="仿宋"/>
          <w:sz w:val="32"/>
          <w:szCs w:val="32"/>
        </w:rPr>
      </w:pPr>
      <w:r>
        <w:rPr>
          <w:rFonts w:hint="eastAsia" w:ascii="仿宋" w:hAnsi="仿宋" w:eastAsia="仿宋" w:cs="华文仿宋"/>
          <w:b/>
          <w:bCs/>
          <w:kern w:val="0"/>
          <w:sz w:val="32"/>
          <w:szCs w:val="32"/>
        </w:rPr>
        <w:t>第二十条【线上异议】</w:t>
      </w:r>
      <w:r>
        <w:rPr>
          <w:rFonts w:hint="eastAsia" w:ascii="仿宋" w:hAnsi="仿宋" w:eastAsia="仿宋"/>
          <w:sz w:val="32"/>
          <w:szCs w:val="32"/>
        </w:rPr>
        <w:t>潜在投标人对发布的招标文件有疑问可在规定时间内通过登录交易系统线上提出，</w:t>
      </w:r>
      <w:r>
        <w:rPr>
          <w:rFonts w:hint="eastAsia" w:ascii="仿宋" w:hAnsi="仿宋" w:eastAsia="仿宋" w:cs="仿宋"/>
          <w:sz w:val="32"/>
          <w:szCs w:val="32"/>
        </w:rPr>
        <w:t>招标代理机构</w:t>
      </w:r>
      <w:r>
        <w:rPr>
          <w:rFonts w:hint="eastAsia" w:ascii="仿宋" w:hAnsi="仿宋" w:eastAsia="仿宋"/>
          <w:sz w:val="32"/>
          <w:szCs w:val="32"/>
        </w:rPr>
        <w:t>需在规定时间内对提出的疑问作出答复，并将答复情况进行公开。</w:t>
      </w:r>
      <w:r>
        <w:rPr>
          <w:rFonts w:hint="eastAsia" w:ascii="仿宋" w:hAnsi="仿宋" w:eastAsia="仿宋" w:cs="仿宋"/>
          <w:sz w:val="32"/>
          <w:szCs w:val="32"/>
        </w:rPr>
        <w:t>若需发布变更/澄清公告的由招标代理机构按照招标公告发布流程在规定时间内公开发布。</w:t>
      </w:r>
    </w:p>
    <w:p>
      <w:pPr>
        <w:widowControl/>
        <w:shd w:val="clear" w:color="auto" w:fill="FFFFFF"/>
        <w:spacing w:line="360" w:lineRule="auto"/>
        <w:jc w:val="center"/>
        <w:rPr>
          <w:rFonts w:ascii="华文仿宋" w:hAnsi="华文仿宋" w:eastAsia="华文仿宋" w:cs="华文仿宋"/>
          <w:b/>
          <w:bCs/>
          <w:kern w:val="0"/>
          <w:sz w:val="32"/>
          <w:szCs w:val="32"/>
        </w:rPr>
      </w:pPr>
      <w:r>
        <w:rPr>
          <w:rFonts w:hint="eastAsia" w:ascii="黑体" w:hAnsi="黑体" w:eastAsia="黑体" w:cs="黑体"/>
          <w:bCs/>
          <w:kern w:val="0"/>
          <w:sz w:val="32"/>
          <w:szCs w:val="32"/>
        </w:rPr>
        <w:t>第五章  投标</w:t>
      </w:r>
    </w:p>
    <w:p>
      <w:pPr>
        <w:spacing w:line="360" w:lineRule="auto"/>
        <w:ind w:firstLine="643" w:firstLineChars="200"/>
        <w:rPr>
          <w:rFonts w:ascii="仿宋" w:hAnsi="仿宋" w:eastAsia="仿宋" w:cs="方正楷体_GBK"/>
          <w:sz w:val="32"/>
          <w:szCs w:val="32"/>
        </w:rPr>
      </w:pPr>
      <w:r>
        <w:rPr>
          <w:rFonts w:hint="eastAsia" w:ascii="仿宋" w:hAnsi="仿宋" w:eastAsia="仿宋" w:cs="华文仿宋"/>
          <w:b/>
          <w:bCs/>
          <w:kern w:val="0"/>
          <w:sz w:val="32"/>
          <w:szCs w:val="32"/>
        </w:rPr>
        <w:t>第二十一条【下载招标文件】</w:t>
      </w:r>
      <w:r>
        <w:rPr>
          <w:rFonts w:hint="eastAsia" w:ascii="仿宋" w:hAnsi="仿宋" w:eastAsia="仿宋" w:cs="华文仿宋"/>
          <w:bCs/>
          <w:kern w:val="0"/>
          <w:sz w:val="32"/>
          <w:szCs w:val="32"/>
        </w:rPr>
        <w:t>潜在投标人可通过交易服务平台查看工程建设项目招标公告信息，自行</w:t>
      </w:r>
      <w:r>
        <w:rPr>
          <w:rFonts w:hint="eastAsia" w:ascii="仿宋" w:hAnsi="仿宋" w:eastAsia="仿宋"/>
          <w:sz w:val="32"/>
          <w:szCs w:val="32"/>
        </w:rPr>
        <w:t>下载拟参与投标项目的招标文件（含变更、澄清文件等）和相关附件。</w:t>
      </w:r>
    </w:p>
    <w:p>
      <w:pPr>
        <w:spacing w:line="360" w:lineRule="auto"/>
        <w:ind w:firstLine="643" w:firstLineChars="200"/>
        <w:rPr>
          <w:rFonts w:ascii="仿宋" w:hAnsi="仿宋" w:eastAsia="仿宋" w:cs="方正楷体_GBK"/>
          <w:sz w:val="32"/>
          <w:szCs w:val="32"/>
        </w:rPr>
      </w:pPr>
      <w:r>
        <w:rPr>
          <w:rFonts w:hint="eastAsia" w:ascii="仿宋" w:hAnsi="仿宋" w:eastAsia="仿宋" w:cs="华文仿宋"/>
          <w:b/>
          <w:bCs/>
          <w:kern w:val="0"/>
          <w:sz w:val="32"/>
          <w:szCs w:val="32"/>
        </w:rPr>
        <w:t>第二十二条【制作投标文件】</w:t>
      </w:r>
      <w:r>
        <w:rPr>
          <w:rFonts w:hint="eastAsia" w:ascii="仿宋" w:hAnsi="仿宋" w:eastAsia="仿宋"/>
          <w:sz w:val="32"/>
          <w:szCs w:val="32"/>
        </w:rPr>
        <w:t>投标人通过</w:t>
      </w:r>
      <w:r>
        <w:rPr>
          <w:rFonts w:hint="eastAsia" w:ascii="仿宋" w:hAnsi="仿宋" w:eastAsia="仿宋" w:cs="华文仿宋"/>
          <w:bCs/>
          <w:kern w:val="0"/>
          <w:sz w:val="32"/>
          <w:szCs w:val="32"/>
        </w:rPr>
        <w:t>交易服务平台跳转登录交易系统，登录后需按照项目对应的行业和类别</w:t>
      </w:r>
      <w:r>
        <w:rPr>
          <w:rFonts w:hint="eastAsia" w:ascii="仿宋" w:hAnsi="仿宋" w:eastAsia="仿宋"/>
          <w:sz w:val="32"/>
          <w:szCs w:val="32"/>
        </w:rPr>
        <w:t>下载并安装投标文件制作工具</w:t>
      </w:r>
      <w:r>
        <w:rPr>
          <w:rFonts w:ascii="仿宋" w:hAnsi="仿宋" w:eastAsia="仿宋"/>
          <w:sz w:val="32"/>
          <w:szCs w:val="32"/>
        </w:rPr>
        <w:t>，</w:t>
      </w:r>
      <w:r>
        <w:rPr>
          <w:rFonts w:hint="eastAsia" w:ascii="仿宋" w:hAnsi="仿宋" w:eastAsia="仿宋"/>
          <w:sz w:val="32"/>
          <w:szCs w:val="32"/>
        </w:rPr>
        <w:t>对照</w:t>
      </w:r>
      <w:r>
        <w:rPr>
          <w:rFonts w:ascii="仿宋" w:hAnsi="仿宋" w:eastAsia="仿宋"/>
          <w:sz w:val="32"/>
          <w:szCs w:val="32"/>
        </w:rPr>
        <w:t>相应的招标文件</w:t>
      </w:r>
      <w:r>
        <w:rPr>
          <w:rFonts w:hint="eastAsia" w:ascii="仿宋" w:hAnsi="仿宋" w:eastAsia="仿宋"/>
          <w:sz w:val="32"/>
          <w:szCs w:val="32"/>
        </w:rPr>
        <w:t>要求制作</w:t>
      </w:r>
      <w:r>
        <w:rPr>
          <w:rFonts w:ascii="仿宋" w:hAnsi="仿宋" w:eastAsia="仿宋"/>
          <w:sz w:val="32"/>
          <w:szCs w:val="32"/>
        </w:rPr>
        <w:t>投标文件</w:t>
      </w:r>
      <w:r>
        <w:rPr>
          <w:rFonts w:hint="eastAsia" w:ascii="仿宋" w:hAnsi="仿宋" w:eastAsia="仿宋"/>
          <w:sz w:val="32"/>
          <w:szCs w:val="32"/>
        </w:rPr>
        <w:t>，并按章节上传投标附件资料，投标附件资料全部上传完成后，点击“</w:t>
      </w:r>
      <w:r>
        <w:rPr>
          <w:rFonts w:ascii="仿宋" w:hAnsi="仿宋" w:eastAsia="仿宋"/>
          <w:sz w:val="32"/>
          <w:szCs w:val="32"/>
        </w:rPr>
        <w:t>批量转换</w:t>
      </w:r>
      <w:r>
        <w:rPr>
          <w:rFonts w:hint="eastAsia" w:ascii="仿宋" w:hAnsi="仿宋" w:eastAsia="仿宋"/>
          <w:sz w:val="32"/>
          <w:szCs w:val="32"/>
        </w:rPr>
        <w:t>”按键</w:t>
      </w:r>
      <w:r>
        <w:rPr>
          <w:rFonts w:ascii="仿宋" w:hAnsi="仿宋" w:eastAsia="仿宋"/>
          <w:sz w:val="32"/>
          <w:szCs w:val="32"/>
        </w:rPr>
        <w:t>转换</w:t>
      </w:r>
      <w:r>
        <w:rPr>
          <w:rFonts w:hint="eastAsia" w:ascii="仿宋" w:hAnsi="仿宋" w:eastAsia="仿宋"/>
          <w:sz w:val="32"/>
          <w:szCs w:val="32"/>
        </w:rPr>
        <w:t>已制作完成的投标</w:t>
      </w:r>
      <w:r>
        <w:rPr>
          <w:rFonts w:ascii="仿宋" w:hAnsi="仿宋" w:eastAsia="仿宋"/>
          <w:sz w:val="32"/>
          <w:szCs w:val="32"/>
        </w:rPr>
        <w:t>文件</w:t>
      </w:r>
      <w:r>
        <w:rPr>
          <w:rFonts w:hint="eastAsia" w:ascii="仿宋" w:hAnsi="仿宋" w:eastAsia="仿宋"/>
          <w:sz w:val="32"/>
          <w:szCs w:val="32"/>
        </w:rPr>
        <w:t>，</w:t>
      </w:r>
      <w:r>
        <w:rPr>
          <w:rFonts w:ascii="仿宋" w:hAnsi="仿宋" w:eastAsia="仿宋"/>
          <w:sz w:val="32"/>
          <w:szCs w:val="32"/>
        </w:rPr>
        <w:t>显示转换成功</w:t>
      </w:r>
      <w:r>
        <w:rPr>
          <w:rFonts w:hint="eastAsia" w:ascii="仿宋" w:hAnsi="仿宋" w:eastAsia="仿宋"/>
          <w:sz w:val="32"/>
          <w:szCs w:val="32"/>
        </w:rPr>
        <w:t>后点击“标书签章”按键在投标</w:t>
      </w:r>
      <w:r>
        <w:rPr>
          <w:rFonts w:ascii="仿宋" w:hAnsi="仿宋" w:eastAsia="仿宋"/>
          <w:sz w:val="32"/>
          <w:szCs w:val="32"/>
        </w:rPr>
        <w:t>文件</w:t>
      </w:r>
      <w:r>
        <w:rPr>
          <w:rFonts w:hint="eastAsia" w:ascii="仿宋" w:hAnsi="仿宋" w:eastAsia="仿宋"/>
          <w:sz w:val="32"/>
          <w:szCs w:val="32"/>
        </w:rPr>
        <w:t>指定位置</w:t>
      </w:r>
      <w:r>
        <w:rPr>
          <w:rFonts w:ascii="仿宋" w:hAnsi="仿宋" w:eastAsia="仿宋"/>
          <w:sz w:val="32"/>
          <w:szCs w:val="32"/>
        </w:rPr>
        <w:t>点击签章图标签下对应的</w:t>
      </w:r>
      <w:r>
        <w:rPr>
          <w:rFonts w:hint="eastAsia" w:ascii="仿宋" w:hAnsi="仿宋" w:eastAsia="仿宋"/>
          <w:sz w:val="32"/>
          <w:szCs w:val="32"/>
        </w:rPr>
        <w:t>电子印章，</w:t>
      </w:r>
      <w:r>
        <w:rPr>
          <w:rFonts w:ascii="仿宋" w:hAnsi="仿宋" w:eastAsia="仿宋"/>
          <w:sz w:val="32"/>
          <w:szCs w:val="32"/>
        </w:rPr>
        <w:t>签章完毕</w:t>
      </w:r>
      <w:r>
        <w:rPr>
          <w:rFonts w:hint="eastAsia" w:ascii="仿宋" w:hAnsi="仿宋" w:eastAsia="仿宋"/>
          <w:sz w:val="32"/>
          <w:szCs w:val="32"/>
        </w:rPr>
        <w:t>后点击“</w:t>
      </w:r>
      <w:r>
        <w:rPr>
          <w:rFonts w:ascii="仿宋" w:hAnsi="仿宋" w:eastAsia="仿宋"/>
          <w:sz w:val="32"/>
          <w:szCs w:val="32"/>
        </w:rPr>
        <w:t>预览标书</w:t>
      </w:r>
      <w:r>
        <w:rPr>
          <w:rFonts w:hint="eastAsia" w:ascii="仿宋" w:hAnsi="仿宋" w:eastAsia="仿宋"/>
          <w:sz w:val="32"/>
          <w:szCs w:val="32"/>
        </w:rPr>
        <w:t>”按键，</w:t>
      </w:r>
      <w:r>
        <w:rPr>
          <w:rFonts w:ascii="仿宋" w:hAnsi="仿宋" w:eastAsia="仿宋"/>
          <w:sz w:val="32"/>
          <w:szCs w:val="32"/>
        </w:rPr>
        <w:t>进行</w:t>
      </w:r>
      <w:r>
        <w:rPr>
          <w:rFonts w:hint="eastAsia" w:ascii="仿宋" w:hAnsi="仿宋" w:eastAsia="仿宋"/>
          <w:sz w:val="32"/>
          <w:szCs w:val="32"/>
        </w:rPr>
        <w:t>投标文件</w:t>
      </w:r>
      <w:r>
        <w:rPr>
          <w:rFonts w:ascii="仿宋" w:hAnsi="仿宋" w:eastAsia="仿宋"/>
          <w:sz w:val="32"/>
          <w:szCs w:val="32"/>
        </w:rPr>
        <w:t>信息的检查，确认无误后</w:t>
      </w:r>
      <w:r>
        <w:rPr>
          <w:rFonts w:hint="eastAsia" w:ascii="仿宋" w:hAnsi="仿宋" w:eastAsia="仿宋"/>
          <w:sz w:val="32"/>
          <w:szCs w:val="32"/>
        </w:rPr>
        <w:t>点击“</w:t>
      </w:r>
      <w:r>
        <w:rPr>
          <w:rFonts w:ascii="仿宋" w:hAnsi="仿宋" w:eastAsia="仿宋"/>
          <w:sz w:val="32"/>
          <w:szCs w:val="32"/>
        </w:rPr>
        <w:t>生成标书</w:t>
      </w:r>
      <w:r>
        <w:rPr>
          <w:rFonts w:hint="eastAsia" w:ascii="仿宋" w:hAnsi="仿宋" w:eastAsia="仿宋"/>
          <w:sz w:val="32"/>
          <w:szCs w:val="32"/>
        </w:rPr>
        <w:t>”按键，</w:t>
      </w:r>
      <w:r>
        <w:rPr>
          <w:rFonts w:ascii="仿宋" w:hAnsi="仿宋" w:eastAsia="仿宋"/>
          <w:sz w:val="32"/>
          <w:szCs w:val="32"/>
        </w:rPr>
        <w:t>并将生成的</w:t>
      </w:r>
      <w:r>
        <w:rPr>
          <w:rFonts w:hint="eastAsia" w:ascii="仿宋" w:hAnsi="仿宋" w:eastAsia="仿宋"/>
          <w:sz w:val="32"/>
          <w:szCs w:val="32"/>
        </w:rPr>
        <w:t>投标文件</w:t>
      </w:r>
      <w:r>
        <w:rPr>
          <w:rFonts w:ascii="仿宋" w:hAnsi="仿宋" w:eastAsia="仿宋"/>
          <w:sz w:val="32"/>
          <w:szCs w:val="32"/>
        </w:rPr>
        <w:t>保存</w:t>
      </w:r>
      <w:r>
        <w:rPr>
          <w:rFonts w:hint="eastAsia" w:ascii="仿宋" w:hAnsi="仿宋" w:eastAsia="仿宋"/>
          <w:sz w:val="32"/>
          <w:szCs w:val="32"/>
        </w:rPr>
        <w:t>至</w:t>
      </w:r>
      <w:r>
        <w:rPr>
          <w:rFonts w:ascii="仿宋" w:hAnsi="仿宋" w:eastAsia="仿宋"/>
          <w:sz w:val="32"/>
          <w:szCs w:val="32"/>
        </w:rPr>
        <w:t>本地文件夹</w:t>
      </w:r>
      <w:r>
        <w:rPr>
          <w:rFonts w:hint="eastAsia" w:ascii="仿宋" w:hAnsi="仿宋" w:eastAsia="仿宋"/>
          <w:sz w:val="32"/>
          <w:szCs w:val="32"/>
        </w:rPr>
        <w:t>，点击</w:t>
      </w:r>
      <w:r>
        <w:rPr>
          <w:rFonts w:ascii="仿宋" w:hAnsi="仿宋" w:eastAsia="仿宋"/>
          <w:sz w:val="32"/>
          <w:szCs w:val="32"/>
        </w:rPr>
        <w:t>确认后</w:t>
      </w:r>
      <w:r>
        <w:rPr>
          <w:rFonts w:hint="eastAsia" w:ascii="仿宋" w:hAnsi="仿宋" w:eastAsia="仿宋"/>
          <w:sz w:val="32"/>
          <w:szCs w:val="32"/>
        </w:rPr>
        <w:t>即</w:t>
      </w:r>
      <w:r>
        <w:rPr>
          <w:rFonts w:ascii="仿宋" w:hAnsi="仿宋" w:eastAsia="仿宋"/>
          <w:sz w:val="32"/>
          <w:szCs w:val="32"/>
        </w:rPr>
        <w:t>完成投标文件的制作。</w:t>
      </w:r>
      <w:r>
        <w:rPr>
          <w:rFonts w:hint="eastAsia" w:ascii="仿宋" w:hAnsi="仿宋" w:eastAsia="仿宋"/>
          <w:sz w:val="32"/>
          <w:szCs w:val="32"/>
        </w:rPr>
        <w:t>制作过程中投标人需及时关注本项目招标文件的变更和澄清公告，并按招标文件签章要求完成投标文件的电子签章及签名，未按要求制作的电子投标文件，将影响投标文件的上传。</w:t>
      </w:r>
    </w:p>
    <w:p>
      <w:pPr>
        <w:spacing w:line="360" w:lineRule="auto"/>
        <w:ind w:firstLine="482" w:firstLineChars="150"/>
        <w:rPr>
          <w:rFonts w:ascii="仿宋" w:hAnsi="仿宋" w:eastAsia="仿宋" w:cs="仿宋"/>
          <w:sz w:val="32"/>
          <w:szCs w:val="32"/>
        </w:rPr>
      </w:pPr>
      <w:r>
        <w:rPr>
          <w:rFonts w:hint="eastAsia" w:ascii="仿宋" w:hAnsi="仿宋" w:eastAsia="仿宋" w:cs="华文仿宋"/>
          <w:b/>
          <w:bCs/>
          <w:kern w:val="0"/>
          <w:sz w:val="32"/>
          <w:szCs w:val="32"/>
        </w:rPr>
        <w:t>第二十三条【投标文件加密及上传】</w:t>
      </w:r>
      <w:r>
        <w:rPr>
          <w:rFonts w:hint="eastAsia" w:ascii="仿宋" w:hAnsi="仿宋" w:eastAsia="仿宋" w:cs="仿宋"/>
          <w:sz w:val="32"/>
          <w:szCs w:val="32"/>
        </w:rPr>
        <w:t>投标人在</w:t>
      </w:r>
      <w:r>
        <w:rPr>
          <w:rFonts w:hint="eastAsia" w:ascii="仿宋" w:hAnsi="仿宋" w:eastAsia="仿宋"/>
          <w:sz w:val="32"/>
          <w:szCs w:val="32"/>
        </w:rPr>
        <w:t>投标文件制作工具“生成投标文件”模块中点击“生成标书”按键后并</w:t>
      </w:r>
      <w:r>
        <w:rPr>
          <w:rFonts w:hint="eastAsia" w:ascii="仿宋" w:hAnsi="仿宋" w:eastAsia="仿宋" w:cs="仿宋"/>
          <w:sz w:val="32"/>
          <w:szCs w:val="32"/>
        </w:rPr>
        <w:t>运用CA数字证书对电子投标文件进行加密，在交易系统中点击“上传投标文件”模块将加密后的电子投标文件（不超过1000兆）在投标文件递交截止时间前完整上传至交易系统，系统显示上传成功即完成投标文件上传，未加密的电子投标文件将无法上传至交易系统。投标人需充分考虑投标文件传送时间和网络情况，逾时传送将会被交易系统判断为逾期送达。</w:t>
      </w:r>
    </w:p>
    <w:p>
      <w:pPr>
        <w:spacing w:line="360" w:lineRule="auto"/>
        <w:ind w:firstLine="643" w:firstLineChars="200"/>
        <w:outlineLvl w:val="1"/>
        <w:rPr>
          <w:rFonts w:ascii="仿宋" w:hAnsi="仿宋" w:eastAsia="仿宋" w:cs="方正楷体_GBK"/>
          <w:sz w:val="32"/>
          <w:szCs w:val="32"/>
        </w:rPr>
      </w:pPr>
      <w:r>
        <w:rPr>
          <w:rFonts w:hint="eastAsia" w:ascii="仿宋" w:hAnsi="仿宋" w:eastAsia="仿宋" w:cs="华文仿宋"/>
          <w:b/>
          <w:bCs/>
          <w:kern w:val="0"/>
          <w:sz w:val="32"/>
          <w:szCs w:val="32"/>
        </w:rPr>
        <w:t>第二十四条【投标担保】</w:t>
      </w:r>
      <w:r>
        <w:rPr>
          <w:rFonts w:hint="eastAsia" w:ascii="仿宋" w:hAnsi="仿宋" w:eastAsia="仿宋" w:cs="仿宋"/>
          <w:sz w:val="32"/>
          <w:szCs w:val="32"/>
        </w:rPr>
        <w:t>投标人需按照招标文件规定方式及交易系统生成的随机保证金子账号足额交纳投标保证金。投标文件递交截止时间前，已足额交纳了投标保证金至指定账户，或者提交了足额保函（银行保函、保险保函、担保保函等）或者按程序操作使用承诺的投标人即获得投标资格。</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第六章  网上开标</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第二十五条【网上开标】</w:t>
      </w:r>
      <w:r>
        <w:rPr>
          <w:rFonts w:hint="eastAsia" w:ascii="仿宋" w:hAnsi="仿宋" w:eastAsia="仿宋" w:cs="仿宋"/>
          <w:sz w:val="32"/>
          <w:szCs w:val="32"/>
        </w:rPr>
        <w:t>招标代理机构需在开标前15分钟至交易中心预订的开标室（或开标席位）登录交易系统网上开标大厅进行开标准备。到达开标时间后，招标代理机构按照系统流程点击操作按键进行网上开标，依次公布投标人名称、确认解密时长、发起解密指令、查看解密情况等。</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sz w:val="32"/>
          <w:szCs w:val="32"/>
        </w:rPr>
        <w:t>第二十六条</w:t>
      </w:r>
      <w:r>
        <w:rPr>
          <w:rFonts w:hint="eastAsia" w:ascii="仿宋" w:hAnsi="仿宋" w:eastAsia="仿宋" w:cs="华文仿宋"/>
          <w:sz w:val="32"/>
          <w:szCs w:val="32"/>
        </w:rPr>
        <w:t>【</w:t>
      </w:r>
      <w:r>
        <w:rPr>
          <w:rFonts w:hint="eastAsia" w:ascii="仿宋" w:hAnsi="仿宋" w:eastAsia="仿宋" w:cs="华文仿宋"/>
          <w:b/>
          <w:bCs/>
          <w:kern w:val="0"/>
          <w:sz w:val="32"/>
          <w:szCs w:val="32"/>
        </w:rPr>
        <w:t>解密投标文件</w:t>
      </w:r>
      <w:r>
        <w:rPr>
          <w:rFonts w:hint="eastAsia" w:ascii="仿宋" w:hAnsi="仿宋" w:eastAsia="仿宋" w:cs="华文仿宋"/>
          <w:b/>
          <w:bCs/>
          <w:sz w:val="32"/>
          <w:szCs w:val="32"/>
        </w:rPr>
        <w:t>】</w:t>
      </w:r>
      <w:r>
        <w:rPr>
          <w:rFonts w:hint="eastAsia" w:ascii="仿宋" w:hAnsi="仿宋" w:eastAsia="仿宋" w:cs="仿宋"/>
          <w:sz w:val="32"/>
          <w:szCs w:val="32"/>
        </w:rPr>
        <w:t>投标人需在投标截止时间（开标时间）前登录交易系统“不见面开标签到解密”模块进入网上开标大厅进行开标解密操作，待开标时间到达并由招标代理机构网上发起投标文件解密指令后，尽快自行解密投标文件。投标文件解密需注意如下事项：</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 xml:space="preserve">（1）未登录网上开标大厅的将无法进行投标文件解密；                          </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 xml:space="preserve">（2）根据交易系统网上开标大厅提示，投标人需在规定时间内使用加密投标文件的CA数字证书解密投标文件（参与多标段项目投标时，需分别进入各标段对投标文件解密），未在规定的时间内解密投标文件的，视同无效投标； </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（3）解密时未使用加密时使用的CA数字证书或CA数字证书过期的，将无法完成投标文件解密；</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（4）对开标过程或结果有异议的，投标人需在网上开标大厅相应窗口提出异议，招标代理机构需及时回复；</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5）出现投标人开标解密失败时，交易中心应当安排技术人员进行现场排查处理，因交易系统、网络原因，予以现场排除解决，需延长解密时限的经行政监督部门同意后由招标代理机构确认延长时限；非系统和网络原因不能解密的投标文件，视为无效投标文件。</w:t>
      </w:r>
    </w:p>
    <w:p>
      <w:pPr>
        <w:spacing w:line="360" w:lineRule="auto"/>
        <w:ind w:firstLine="643" w:firstLineChars="200"/>
        <w:outlineLvl w:val="1"/>
        <w:rPr>
          <w:rFonts w:ascii="仿宋" w:hAnsi="仿宋" w:eastAsia="仿宋" w:cs="仿宋"/>
          <w:sz w:val="32"/>
          <w:szCs w:val="32"/>
        </w:rPr>
      </w:pPr>
      <w:r>
        <w:rPr>
          <w:rFonts w:eastAsia="仿宋" w:cs="Calibri"/>
          <w:b/>
          <w:bCs/>
          <w:sz w:val="32"/>
          <w:szCs w:val="32"/>
        </w:rPr>
        <w:t> </w:t>
      </w:r>
      <w:r>
        <w:rPr>
          <w:rFonts w:hint="eastAsia" w:ascii="仿宋" w:hAnsi="仿宋" w:eastAsia="仿宋" w:cs="华文仿宋"/>
          <w:b/>
          <w:bCs/>
          <w:sz w:val="32"/>
          <w:szCs w:val="32"/>
        </w:rPr>
        <w:t>第二十七条</w:t>
      </w:r>
      <w:r>
        <w:rPr>
          <w:rFonts w:hint="eastAsia" w:ascii="仿宋" w:hAnsi="仿宋" w:eastAsia="仿宋" w:cs="华文仿宋"/>
          <w:b/>
          <w:bCs/>
          <w:kern w:val="0"/>
          <w:sz w:val="32"/>
          <w:szCs w:val="32"/>
        </w:rPr>
        <w:t>【开标过程】</w:t>
      </w:r>
      <w:r>
        <w:rPr>
          <w:rFonts w:hint="eastAsia" w:ascii="仿宋" w:hAnsi="仿宋" w:eastAsia="仿宋" w:cs="仿宋"/>
          <w:sz w:val="32"/>
          <w:szCs w:val="32"/>
        </w:rPr>
        <w:t>招标代理机构通过网上开标大厅直播开标过程，解密时限截止、投标人解密完成后，招标代理机构点击“批量导入”按键后进行唱标，按照招标文件规定，依次公布投标人信息、报价、保证金等情况。开标结束后交易系统自动生成开标记录表，投标人可实时查看并下载开标信息。</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（1）项目正常完成开标，由招标代理机构开标人员点击开标结束；</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（2）开标存在异常情况时，招标代理机构开标人员需在网上开标大厅输入项目异常原因，并按照第二十八条对照处理；</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（3）开标过程中线上实时接收投标人提出的咨询或异议，招标代理机构开标人员需及时点击“异议答复”模块进行线上答复；</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（4）开标结束以后，投标人界面自动跳转到开标结束界面，投标人可自行查看开标过程中相关记录。</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sz w:val="32"/>
          <w:szCs w:val="32"/>
        </w:rPr>
        <w:t>第二十八条</w:t>
      </w:r>
      <w:r>
        <w:rPr>
          <w:rFonts w:hint="eastAsia" w:ascii="仿宋" w:hAnsi="仿宋" w:eastAsia="仿宋" w:cs="华文仿宋"/>
          <w:b/>
          <w:bCs/>
          <w:kern w:val="0"/>
          <w:sz w:val="32"/>
          <w:szCs w:val="32"/>
        </w:rPr>
        <w:t>【开标过程异常情况处理】</w:t>
      </w:r>
      <w:r>
        <w:rPr>
          <w:rFonts w:hint="eastAsia" w:ascii="仿宋" w:hAnsi="仿宋" w:eastAsia="仿宋" w:cs="仿宋"/>
          <w:sz w:val="32"/>
          <w:szCs w:val="32"/>
        </w:rPr>
        <w:t>现场开标出现异常情况需按下列原则进行处理：</w:t>
      </w:r>
    </w:p>
    <w:p>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（1）出现</w:t>
      </w:r>
      <w:r>
        <w:rPr>
          <w:rFonts w:hint="eastAsia" w:ascii="仿宋" w:hAnsi="仿宋" w:eastAsia="仿宋"/>
          <w:sz w:val="32"/>
          <w:szCs w:val="32"/>
        </w:rPr>
        <w:t>中止开标的异常情况：开标现场由招标代理机构发起中止开标流程并填写理由，招标人审核并经行政监督部门确认同意后可中止（暂停）开标，后续若要取消中止、继续开标的需报行政监督部门审批同意，招标代理机构重新预约开标场地与时间，交易系统内同步显示该项目交易状态，同时交易系统自动通知相应交易主体；</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（2）出现抽取下浮点功能设置错误</w:t>
      </w:r>
      <w:r>
        <w:rPr>
          <w:rFonts w:hint="eastAsia" w:ascii="仿宋" w:hAnsi="仿宋" w:eastAsia="仿宋"/>
          <w:sz w:val="32"/>
          <w:szCs w:val="32"/>
        </w:rPr>
        <w:t>的异常情况</w:t>
      </w:r>
      <w:r>
        <w:rPr>
          <w:rFonts w:hint="eastAsia" w:ascii="仿宋" w:hAnsi="仿宋" w:eastAsia="仿宋" w:cs="仿宋"/>
          <w:sz w:val="32"/>
          <w:szCs w:val="32"/>
        </w:rPr>
        <w:t>：在开标过程中发现抽取下浮点设置（是/否）错误的，由招标代理机构自行操作进行修改，修改后由招标人确认，开标现场如投标人提出异议，招标代理机构需及时进行回复，见证系统对开标现场异议情况进行记录；</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（3）出现上限价数值录入错误</w:t>
      </w:r>
      <w:r>
        <w:rPr>
          <w:rFonts w:hint="eastAsia" w:ascii="仿宋" w:hAnsi="仿宋" w:eastAsia="仿宋"/>
          <w:sz w:val="32"/>
          <w:szCs w:val="32"/>
        </w:rPr>
        <w:t>的异常情况</w:t>
      </w:r>
      <w:r>
        <w:rPr>
          <w:rFonts w:hint="eastAsia" w:ascii="仿宋" w:hAnsi="仿宋" w:eastAsia="仿宋" w:cs="仿宋"/>
          <w:sz w:val="32"/>
          <w:szCs w:val="32"/>
        </w:rPr>
        <w:t>：在开标过程中发现上限价录入错误，招标代理机构现场进行更正纠错，自行操作进行修改，修改后由招标人确认，开标现场如投标人提出异议，招标代理机构需及时进行回复，见证系统对开标现场异议情况进行记录；在评标过程中发现上限价录入错误导致评标专家无法进行正常评标的，</w:t>
      </w:r>
      <w:r>
        <w:rPr>
          <w:rFonts w:hint="eastAsia" w:ascii="仿宋" w:hAnsi="仿宋" w:eastAsia="仿宋" w:cs="仿宋"/>
          <w:sz w:val="32"/>
          <w:szCs w:val="32"/>
          <w:lang w:val="en"/>
        </w:rPr>
        <w:t>需经</w:t>
      </w:r>
      <w:r>
        <w:rPr>
          <w:rFonts w:hint="eastAsia" w:ascii="仿宋" w:hAnsi="仿宋" w:eastAsia="仿宋" w:cs="仿宋"/>
          <w:sz w:val="32"/>
          <w:szCs w:val="32"/>
        </w:rPr>
        <w:t xml:space="preserve">项目行政监督部门同意修正后组织复评，由招标代理机构重新预约场地，并对录入错误问题予以修正，交易系统对修正前后情况予以记录；                                  </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（4）出现有效评标价计算错误</w:t>
      </w:r>
      <w:r>
        <w:rPr>
          <w:rFonts w:hint="eastAsia" w:ascii="仿宋" w:hAnsi="仿宋" w:eastAsia="仿宋"/>
          <w:sz w:val="32"/>
          <w:szCs w:val="32"/>
        </w:rPr>
        <w:t>的异常情况</w:t>
      </w:r>
      <w:r>
        <w:rPr>
          <w:rFonts w:hint="eastAsia" w:ascii="仿宋" w:hAnsi="仿宋" w:eastAsia="仿宋" w:cs="仿宋"/>
          <w:sz w:val="32"/>
          <w:szCs w:val="32"/>
        </w:rPr>
        <w:t>：在开标过程中招标代理机构现场开标人员将上浮比例、金额、暂估价、暂列金额等数字录入错误，且已经点击确定不能回退导致有效评标价计算错误无法继续进行开标的，需经项目行政监督部门同意由招标代理机构修正错误后再继续开标，交易系统对修正前后情况予以记录。</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第七章  评标专家抽取</w:t>
      </w:r>
    </w:p>
    <w:p>
      <w:pPr>
        <w:spacing w:line="360" w:lineRule="auto"/>
        <w:ind w:firstLine="643" w:firstLineChars="200"/>
        <w:rPr>
          <w:rFonts w:ascii="仿宋" w:hAnsi="仿宋" w:eastAsia="仿宋" w:cs="仿宋"/>
          <w:sz w:val="32"/>
          <w:szCs w:val="32"/>
          <w:lang w:val="en"/>
        </w:rPr>
      </w:pPr>
      <w:r>
        <w:rPr>
          <w:rFonts w:hint="eastAsia" w:ascii="仿宋" w:hAnsi="仿宋" w:eastAsia="仿宋" w:cs="华文仿宋"/>
          <w:b/>
          <w:bCs/>
          <w:kern w:val="0"/>
          <w:sz w:val="32"/>
          <w:szCs w:val="32"/>
        </w:rPr>
        <w:t>第二十九条【抽取准备】</w:t>
      </w:r>
      <w:r>
        <w:rPr>
          <w:rFonts w:hint="eastAsia" w:ascii="仿宋" w:hAnsi="仿宋" w:eastAsia="仿宋" w:cs="仿宋"/>
          <w:sz w:val="32"/>
          <w:szCs w:val="32"/>
        </w:rPr>
        <w:t>招标代理机构</w:t>
      </w:r>
      <w:r>
        <w:rPr>
          <w:rFonts w:hint="eastAsia" w:ascii="仿宋" w:hAnsi="仿宋" w:eastAsia="仿宋" w:cs="仿宋"/>
          <w:sz w:val="32"/>
          <w:szCs w:val="32"/>
          <w:lang w:val="en"/>
        </w:rPr>
        <w:t>在开标前任意时间登录交易中心业务管理系统“</w:t>
      </w:r>
      <w:r>
        <w:rPr>
          <w:rFonts w:hint="eastAsia" w:ascii="仿宋" w:hAnsi="仿宋" w:eastAsia="仿宋" w:cs="仿宋"/>
          <w:sz w:val="32"/>
          <w:szCs w:val="32"/>
        </w:rPr>
        <w:t>专家抽取模块”</w:t>
      </w:r>
      <w:r>
        <w:rPr>
          <w:rFonts w:hint="eastAsia" w:ascii="仿宋" w:hAnsi="仿宋" w:eastAsia="仿宋" w:cs="仿宋"/>
          <w:sz w:val="32"/>
          <w:szCs w:val="32"/>
          <w:lang w:val="en"/>
        </w:rPr>
        <w:t>录入专家抽取需求（包括专家数量、专业类别、除投标人外其他回避单位等），由招标人和行政监督部门进行线上审核确认</w:t>
      </w:r>
      <w:r>
        <w:rPr>
          <w:rFonts w:hint="eastAsia" w:ascii="仿宋" w:hAnsi="仿宋" w:eastAsia="仿宋" w:cs="仿宋"/>
          <w:color w:val="FF0000"/>
          <w:sz w:val="32"/>
          <w:szCs w:val="32"/>
          <w:lang w:val="en"/>
        </w:rPr>
        <w:t>。</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按照招标文件规定数量的业主评委由招标代理机构在交易系统中填报相关信息，招标人通过CA数字证书进行登录审核确认</w:t>
      </w:r>
      <w:r>
        <w:rPr>
          <w:rFonts w:hint="eastAsia" w:ascii="仿宋" w:hAnsi="仿宋" w:eastAsia="仿宋"/>
          <w:sz w:val="32"/>
          <w:szCs w:val="32"/>
        </w:rPr>
        <w:t>，错填、漏填的业主评委信息将导致业主评委不能入区。如果评标时间推迟，招标代理机构自行操作修改业主评委入评标区时间，修改后由招标人确认。</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第三十条【专家抽取】</w:t>
      </w:r>
      <w:r>
        <w:rPr>
          <w:rFonts w:hint="eastAsia" w:ascii="仿宋" w:hAnsi="仿宋" w:eastAsia="仿宋" w:cs="仿宋"/>
          <w:bCs/>
          <w:sz w:val="32"/>
          <w:szCs w:val="32"/>
          <w:lang w:val="en"/>
        </w:rPr>
        <w:t>专家抽取实行“</w:t>
      </w:r>
      <w:r>
        <w:rPr>
          <w:rFonts w:hint="eastAsia" w:ascii="仿宋" w:hAnsi="仿宋" w:eastAsia="仿宋" w:cs="仿宋"/>
          <w:bCs/>
          <w:sz w:val="32"/>
          <w:szCs w:val="32"/>
        </w:rPr>
        <w:t>双</w:t>
      </w:r>
      <w:r>
        <w:rPr>
          <w:rFonts w:hint="eastAsia" w:ascii="仿宋" w:hAnsi="仿宋" w:eastAsia="仿宋" w:cs="仿宋"/>
          <w:bCs/>
          <w:sz w:val="32"/>
          <w:szCs w:val="32"/>
          <w:lang w:val="en"/>
        </w:rPr>
        <w:t>随机”模式。</w:t>
      </w:r>
      <w:r>
        <w:rPr>
          <w:rFonts w:hint="eastAsia" w:ascii="仿宋" w:hAnsi="仿宋" w:eastAsia="仿宋" w:cs="仿宋"/>
          <w:sz w:val="32"/>
          <w:szCs w:val="32"/>
        </w:rPr>
        <w:t>招标人（代理机构）需在开标当日9时前于交易系统中的专家抽取模块中录入抽取条件，</w:t>
      </w:r>
      <w:r>
        <w:rPr>
          <w:rFonts w:hint="eastAsia" w:ascii="仿宋" w:hAnsi="仿宋" w:eastAsia="仿宋" w:cs="仿宋"/>
          <w:sz w:val="32"/>
          <w:szCs w:val="32"/>
          <w:lang w:val="en"/>
        </w:rPr>
        <w:t>项目开标、投标人解密完成后，交易系统将自动推送投标人信息至</w:t>
      </w:r>
      <w:r>
        <w:rPr>
          <w:rFonts w:hint="eastAsia" w:ascii="仿宋" w:hAnsi="仿宋" w:eastAsia="仿宋" w:cs="仿宋"/>
          <w:sz w:val="32"/>
          <w:szCs w:val="32"/>
        </w:rPr>
        <w:t>专家抽取模块</w:t>
      </w:r>
      <w:r>
        <w:rPr>
          <w:rFonts w:hint="eastAsia" w:ascii="仿宋" w:hAnsi="仿宋" w:eastAsia="仿宋" w:cs="仿宋"/>
          <w:sz w:val="32"/>
          <w:szCs w:val="32"/>
          <w:lang w:val="en"/>
        </w:rPr>
        <w:t>完成回避单位补充</w:t>
      </w:r>
      <w:r>
        <w:rPr>
          <w:rFonts w:hint="eastAsia" w:ascii="仿宋" w:hAnsi="仿宋" w:eastAsia="仿宋" w:cs="仿宋"/>
          <w:sz w:val="32"/>
          <w:szCs w:val="32"/>
        </w:rPr>
        <w:t>，将其</w:t>
      </w:r>
      <w:r>
        <w:rPr>
          <w:rFonts w:hint="eastAsia" w:ascii="仿宋" w:hAnsi="仿宋" w:eastAsia="仿宋" w:cs="仿宋"/>
          <w:sz w:val="32"/>
          <w:szCs w:val="32"/>
          <w:lang w:val="en"/>
        </w:rPr>
        <w:t>作为回避条件形成完整的专家抽取申请，</w:t>
      </w:r>
      <w:r>
        <w:rPr>
          <w:rFonts w:hint="eastAsia" w:ascii="仿宋" w:hAnsi="仿宋" w:eastAsia="仿宋" w:cs="仿宋"/>
          <w:bCs/>
          <w:sz w:val="32"/>
          <w:szCs w:val="32"/>
          <w:lang w:val="en"/>
        </w:rPr>
        <w:t>当日所有的</w:t>
      </w:r>
      <w:r>
        <w:rPr>
          <w:rFonts w:hint="eastAsia" w:ascii="仿宋" w:hAnsi="仿宋" w:eastAsia="仿宋" w:cs="仿宋"/>
          <w:bCs/>
          <w:sz w:val="32"/>
          <w:szCs w:val="32"/>
        </w:rPr>
        <w:t>工程项目</w:t>
      </w:r>
      <w:r>
        <w:rPr>
          <w:rFonts w:hint="eastAsia" w:ascii="仿宋" w:hAnsi="仿宋" w:eastAsia="仿宋" w:cs="仿宋"/>
          <w:bCs/>
          <w:sz w:val="32"/>
          <w:szCs w:val="32"/>
          <w:lang w:val="en"/>
        </w:rPr>
        <w:t>专家抽取申请由系统按照随机顺序、</w:t>
      </w:r>
      <w:r>
        <w:rPr>
          <w:rFonts w:hint="eastAsia" w:ascii="仿宋" w:hAnsi="仿宋" w:eastAsia="仿宋" w:cs="仿宋"/>
          <w:bCs/>
          <w:sz w:val="32"/>
          <w:szCs w:val="32"/>
        </w:rPr>
        <w:t>随机</w:t>
      </w:r>
      <w:r>
        <w:rPr>
          <w:rFonts w:hint="eastAsia" w:ascii="仿宋" w:hAnsi="仿宋" w:eastAsia="仿宋" w:cs="仿宋"/>
          <w:bCs/>
          <w:sz w:val="32"/>
          <w:szCs w:val="32"/>
          <w:lang w:val="en"/>
        </w:rPr>
        <w:t>时间自动发送至</w:t>
      </w:r>
      <w:r>
        <w:rPr>
          <w:rFonts w:hint="eastAsia" w:ascii="仿宋" w:hAnsi="仿宋" w:eastAsia="仿宋" w:cs="仿宋"/>
          <w:bCs/>
          <w:sz w:val="32"/>
          <w:szCs w:val="32"/>
        </w:rPr>
        <w:t>省综合</w:t>
      </w:r>
      <w:r>
        <w:rPr>
          <w:rFonts w:hint="eastAsia" w:ascii="仿宋" w:hAnsi="仿宋" w:eastAsia="仿宋" w:cs="仿宋"/>
          <w:bCs/>
          <w:sz w:val="32"/>
          <w:szCs w:val="32"/>
          <w:lang w:val="en"/>
        </w:rPr>
        <w:t>专家库抽取评标专家，</w:t>
      </w:r>
      <w:r>
        <w:rPr>
          <w:rFonts w:hint="eastAsia" w:ascii="仿宋" w:hAnsi="仿宋" w:eastAsia="仿宋" w:cs="仿宋"/>
          <w:sz w:val="32"/>
          <w:szCs w:val="32"/>
          <w:lang w:val="en"/>
        </w:rPr>
        <w:t>专家集合时间由</w:t>
      </w:r>
      <w:r>
        <w:rPr>
          <w:rFonts w:hint="eastAsia" w:ascii="仿宋" w:hAnsi="仿宋" w:eastAsia="仿宋" w:cs="仿宋"/>
          <w:sz w:val="32"/>
          <w:szCs w:val="32"/>
        </w:rPr>
        <w:t>交易系统根据</w:t>
      </w:r>
      <w:r>
        <w:rPr>
          <w:rFonts w:hint="eastAsia" w:ascii="仿宋" w:hAnsi="仿宋" w:eastAsia="仿宋" w:cs="仿宋"/>
          <w:sz w:val="32"/>
          <w:szCs w:val="32"/>
          <w:lang w:val="en"/>
        </w:rPr>
        <w:t>专家抽取时间</w:t>
      </w:r>
      <w:r>
        <w:rPr>
          <w:rFonts w:hint="eastAsia" w:ascii="仿宋" w:hAnsi="仿宋" w:eastAsia="仿宋" w:cs="仿宋"/>
          <w:sz w:val="32"/>
          <w:szCs w:val="32"/>
        </w:rPr>
        <w:t>+随机路途时间（90-120分钟之间）自动随机配置。</w:t>
      </w:r>
      <w:r>
        <w:rPr>
          <w:rFonts w:hint="eastAsia" w:ascii="仿宋" w:hAnsi="仿宋" w:eastAsia="仿宋" w:cs="仿宋"/>
          <w:sz w:val="32"/>
          <w:szCs w:val="32"/>
          <w:lang w:val="en"/>
        </w:rPr>
        <w:t>开标后流标项目，交易系统自动管控不进入专家抽取程序。</w:t>
      </w:r>
    </w:p>
    <w:p>
      <w:pPr>
        <w:spacing w:line="360" w:lineRule="auto"/>
        <w:ind w:firstLine="643" w:firstLineChars="200"/>
        <w:outlineLvl w:val="1"/>
        <w:rPr>
          <w:rFonts w:ascii="仿宋" w:hAnsi="仿宋" w:eastAsia="仿宋" w:cs="仿宋"/>
          <w:sz w:val="32"/>
          <w:szCs w:val="32"/>
          <w:lang w:val="en"/>
        </w:rPr>
      </w:pPr>
      <w:r>
        <w:rPr>
          <w:rFonts w:hint="eastAsia" w:ascii="仿宋" w:hAnsi="仿宋" w:eastAsia="仿宋" w:cs="华文仿宋"/>
          <w:b/>
          <w:bCs/>
          <w:kern w:val="0"/>
          <w:sz w:val="32"/>
          <w:szCs w:val="32"/>
        </w:rPr>
        <w:t>第三十一条【专家补抽及异常情况】</w:t>
      </w:r>
      <w:r>
        <w:rPr>
          <w:rFonts w:hint="eastAsia" w:ascii="仿宋" w:hAnsi="仿宋" w:eastAsia="仿宋" w:cs="仿宋"/>
          <w:sz w:val="32"/>
          <w:szCs w:val="32"/>
          <w:lang w:val="en"/>
        </w:rPr>
        <w:t>出现评标专家补抽情形或其他异常情况，</w:t>
      </w:r>
      <w:r>
        <w:rPr>
          <w:rFonts w:hint="eastAsia" w:ascii="仿宋" w:hAnsi="仿宋" w:eastAsia="仿宋" w:cs="仿宋"/>
          <w:sz w:val="32"/>
          <w:szCs w:val="32"/>
        </w:rPr>
        <w:t>需按照下列程序操作处理：</w:t>
      </w:r>
    </w:p>
    <w:p>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
        </w:rPr>
        <w:t>评标</w:t>
      </w:r>
      <w:r>
        <w:rPr>
          <w:rFonts w:hint="eastAsia" w:ascii="仿宋" w:hAnsi="仿宋" w:eastAsia="仿宋" w:cs="仿宋"/>
          <w:sz w:val="32"/>
          <w:szCs w:val="32"/>
        </w:rPr>
        <w:t>专家自行请假，由</w:t>
      </w:r>
      <w:r>
        <w:rPr>
          <w:rFonts w:hint="eastAsia" w:ascii="仿宋" w:hAnsi="仿宋" w:eastAsia="仿宋" w:cs="仿宋"/>
          <w:sz w:val="32"/>
          <w:szCs w:val="32"/>
          <w:lang w:val="en"/>
        </w:rPr>
        <w:t>评标</w:t>
      </w:r>
      <w:r>
        <w:rPr>
          <w:rFonts w:hint="eastAsia" w:ascii="仿宋" w:hAnsi="仿宋" w:eastAsia="仿宋" w:cs="仿宋"/>
          <w:sz w:val="32"/>
          <w:szCs w:val="32"/>
        </w:rPr>
        <w:t>专家自行发起请假指令，专家库系统自动补抽专家；</w:t>
      </w:r>
    </w:p>
    <w:p>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
        </w:rPr>
        <w:t>评标</w:t>
      </w:r>
      <w:r>
        <w:rPr>
          <w:rFonts w:hint="eastAsia" w:ascii="仿宋" w:hAnsi="仿宋" w:eastAsia="仿宋" w:cs="仿宋"/>
          <w:sz w:val="32"/>
          <w:szCs w:val="32"/>
        </w:rPr>
        <w:t>专家到达交易中心评标现场后提出回避的，在交易系统点击申请回避，由交易系统将回避专家的信息推送至专家抽取模块，专家抽取模块自动推送至专家库按原专业类别进行补抽；评标委员会</w:t>
      </w:r>
      <w:r>
        <w:rPr>
          <w:rFonts w:hint="eastAsia" w:ascii="仿宋" w:hAnsi="仿宋" w:eastAsia="仿宋"/>
          <w:sz w:val="32"/>
          <w:szCs w:val="32"/>
        </w:rPr>
        <w:t>已经开始评标，评标</w:t>
      </w:r>
      <w:r>
        <w:rPr>
          <w:rFonts w:hint="eastAsia" w:ascii="仿宋" w:hAnsi="仿宋" w:eastAsia="仿宋" w:cs="仿宋"/>
          <w:sz w:val="32"/>
          <w:szCs w:val="32"/>
        </w:rPr>
        <w:t>专家</w:t>
      </w:r>
      <w:r>
        <w:rPr>
          <w:rFonts w:hint="eastAsia" w:ascii="仿宋" w:hAnsi="仿宋" w:eastAsia="仿宋"/>
          <w:sz w:val="32"/>
          <w:szCs w:val="32"/>
        </w:rPr>
        <w:t>发现需要回避的，由交易中心见证室通知招标代理机构和交易中心抽取管理员，由抽取管理员后台人工发起补抽。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（3）评标专家缺席、迟到禁入补抽，由交易系统将缺席、迟到禁入的专家信息推送至专家抽取模块，专家抽取模块自动推送至专家库按原专业类别进行补抽。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（4）上午10:00后开始抽取（补抽）的专家，集合时间自动改为中午12:00，上午11:00后开始抽取（补抽）的专家，集合时间自动改为下午13:00。</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（5）当日拟评标项</w:t>
      </w:r>
      <w:r>
        <w:rPr>
          <w:rFonts w:hint="eastAsia" w:ascii="仿宋" w:hAnsi="仿宋" w:eastAsia="仿宋"/>
          <w:sz w:val="32"/>
          <w:szCs w:val="32"/>
        </w:rPr>
        <w:t>目超过中午12：00未抽取专家或尚未开始评标但需要补抽专家的原则上当日不再进行评标，已到达评标场所的专家解散出区，该项目由招标代理机构重新预约场地、重新抽取专家进行评标。</w:t>
      </w:r>
    </w:p>
    <w:p>
      <w:pPr>
        <w:spacing w:line="360" w:lineRule="auto"/>
        <w:ind w:firstLine="643" w:firstLineChars="200"/>
        <w:rPr>
          <w:rFonts w:ascii="仿宋" w:hAnsi="仿宋" w:eastAsia="仿宋"/>
          <w:sz w:val="32"/>
          <w:szCs w:val="32"/>
        </w:rPr>
      </w:pPr>
      <w:r>
        <w:rPr>
          <w:rFonts w:hint="eastAsia" w:ascii="仿宋" w:hAnsi="仿宋" w:eastAsia="仿宋" w:cs="华文仿宋"/>
          <w:b/>
          <w:bCs/>
          <w:kern w:val="0"/>
          <w:sz w:val="32"/>
          <w:szCs w:val="32"/>
        </w:rPr>
        <w:t>第三十二条【远程异地副场及专家抽取】</w:t>
      </w:r>
      <w:r>
        <w:rPr>
          <w:rFonts w:hint="eastAsia" w:ascii="仿宋" w:hAnsi="仿宋" w:eastAsia="仿宋"/>
          <w:sz w:val="32"/>
          <w:szCs w:val="32"/>
        </w:rPr>
        <w:t>远程异地评标项目应在上午10:00前完成副场及评标专家抽取工作，若评标专家在中午13：00仍不能集合完毕的原则上需延期评标，评标当天再重新随机抽取副场和评标专家。</w:t>
      </w:r>
    </w:p>
    <w:p>
      <w:pPr>
        <w:spacing w:line="360" w:lineRule="auto"/>
        <w:jc w:val="center"/>
        <w:rPr>
          <w:rFonts w:ascii="华文仿宋" w:hAnsi="华文仿宋" w:eastAsia="华文仿宋" w:cs="华文仿宋"/>
          <w:b/>
          <w:bCs/>
          <w:kern w:val="0"/>
          <w:sz w:val="32"/>
          <w:szCs w:val="32"/>
        </w:rPr>
      </w:pPr>
      <w:r>
        <w:rPr>
          <w:rFonts w:hint="eastAsia" w:ascii="黑体" w:hAnsi="黑体" w:eastAsia="黑体" w:cs="黑体"/>
          <w:bCs/>
          <w:sz w:val="32"/>
          <w:szCs w:val="32"/>
        </w:rPr>
        <w:t>第八章  评标</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第三十三条【评标专家入区】</w:t>
      </w:r>
      <w:r>
        <w:rPr>
          <w:rFonts w:hint="eastAsia" w:ascii="仿宋" w:hAnsi="仿宋" w:eastAsia="仿宋" w:cs="仿宋"/>
          <w:sz w:val="32"/>
          <w:szCs w:val="32"/>
        </w:rPr>
        <w:t>评标专家（含业主评委，下同）按专家抽取约定的集合时间赴交易中心指定地点（必须携带身份证原件参与评标）。</w:t>
      </w:r>
      <w:r>
        <w:rPr>
          <w:rFonts w:hint="eastAsia" w:ascii="仿宋" w:hAnsi="仿宋" w:eastAsia="仿宋"/>
          <w:sz w:val="32"/>
          <w:szCs w:val="32"/>
        </w:rPr>
        <w:t>评标区实行除评标专家外“零”进入管理，</w:t>
      </w:r>
      <w:r>
        <w:rPr>
          <w:rFonts w:hint="eastAsia" w:ascii="仿宋" w:hAnsi="仿宋" w:eastAsia="仿宋" w:cs="仿宋"/>
          <w:sz w:val="32"/>
          <w:szCs w:val="32"/>
        </w:rPr>
        <w:t>评标专家按照交易中心现场管理有关要求（入区前必须寄存通讯工具等个人物品）进行身份验证后进入评标室对应席位。</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第三十四条【专家评标】</w:t>
      </w:r>
      <w:r>
        <w:rPr>
          <w:rFonts w:hint="eastAsia" w:ascii="仿宋" w:hAnsi="仿宋" w:eastAsia="仿宋" w:cs="仿宋"/>
          <w:sz w:val="32"/>
          <w:szCs w:val="32"/>
        </w:rPr>
        <w:t>评标专家使用个人账号登录交易系统评标模块进入对应项目，</w:t>
      </w:r>
      <w:bookmarkStart w:id="2" w:name="_Toc125984653"/>
      <w:bookmarkStart w:id="3" w:name="_Toc16112"/>
      <w:bookmarkStart w:id="4" w:name="_Toc24751"/>
      <w:r>
        <w:rPr>
          <w:rFonts w:hint="eastAsia" w:ascii="仿宋" w:hAnsi="仿宋" w:eastAsia="仿宋" w:cs="仿宋"/>
          <w:sz w:val="32"/>
          <w:szCs w:val="32"/>
        </w:rPr>
        <w:t>评标准备环节</w:t>
      </w:r>
      <w:bookmarkEnd w:id="2"/>
      <w:r>
        <w:rPr>
          <w:rFonts w:hint="eastAsia" w:ascii="仿宋" w:hAnsi="仿宋" w:eastAsia="仿宋" w:cs="仿宋"/>
          <w:sz w:val="32"/>
          <w:szCs w:val="32"/>
        </w:rPr>
        <w:t>由评标专家进行回避选择及推选评标组长，不需要回避的专家直接点击“不需要回避”按键，需要回避的专家先勾选需回避单位，再填写回避理由后点击“需要回避”按键自行出区。评标专家按照少数服从多数原则进行评标委员会组长推选，评标委员会组建完成后评标专家按照系统规定流程及项目评审方法开始电子评标。</w:t>
      </w:r>
    </w:p>
    <w:bookmarkEnd w:id="3"/>
    <w:bookmarkEnd w:id="4"/>
    <w:p>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（1）</w:t>
      </w:r>
      <w:r>
        <w:rPr>
          <w:rFonts w:hint="eastAsia" w:ascii="仿宋" w:hAnsi="仿宋" w:eastAsia="仿宋"/>
          <w:sz w:val="32"/>
          <w:szCs w:val="32"/>
        </w:rPr>
        <w:t xml:space="preserve">已经开始评标，评标专家发现需要回避或因特殊情况需要更换的需按下列原则进行处置：回避专家或被更换的专家出评标室在评标区内的休息区原地休息等待，不能在评标区内串门、不能私自强行出区，待该项目补抽专家到达评标室后再按照交易中心见证人员指令出区。补抽专家到齐后按流程重新组建评标委员会开始评标。被更换的专家已评审内容及作出的评审结论无效，由更换后的补抽专家重新进行评审。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评标专家登录评标系统显示无法组建评标委员会需按下列原则进行处置：因网络、系统原因由交易中心技术人员及时排查解决；因补抽专家造成系统记录专家人数多于法定专家人数时由交易中心技术人员修正流程解决。</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（3）评标过程中招标代理机构要求补充其他评标资料入区</w:t>
      </w:r>
      <w:r>
        <w:rPr>
          <w:rFonts w:hint="eastAsia" w:ascii="仿宋" w:hAnsi="仿宋" w:eastAsia="仿宋"/>
          <w:sz w:val="32"/>
          <w:szCs w:val="32"/>
        </w:rPr>
        <w:t>需按下列原则进行处置：</w:t>
      </w:r>
      <w:r>
        <w:rPr>
          <w:rFonts w:hint="eastAsia" w:ascii="仿宋" w:hAnsi="仿宋" w:eastAsia="仿宋" w:cs="仿宋"/>
          <w:sz w:val="32"/>
          <w:szCs w:val="32"/>
        </w:rPr>
        <w:t>开标后除行政监督部门书面确认的影响评标结果的投标人利益关联认定独立文件（如违规投标等）、开评标现场影响公平公正等重大问题的认定独立文件、依法作出的行政处理决定独立文件外，不得再补充其他任何评标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（4）有演示、答辩等特殊要求的评标项目原则上应采用“不见面”线上方式进行，交易系统应当建立流程密闭、自动监测的演示、答辩功能通道。</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第三十五条【澄清答疑】</w:t>
      </w:r>
      <w:r>
        <w:rPr>
          <w:rFonts w:hint="eastAsia" w:ascii="仿宋" w:hAnsi="仿宋" w:eastAsia="仿宋"/>
          <w:sz w:val="32"/>
          <w:szCs w:val="32"/>
        </w:rPr>
        <w:t>评标委员会不能就招标文件相关内容向招标人提出说明澄清，也不接受招标人主动提出的说明澄清。</w:t>
      </w:r>
      <w:r>
        <w:rPr>
          <w:rFonts w:hint="eastAsia" w:ascii="仿宋" w:hAnsi="仿宋" w:eastAsia="仿宋" w:cs="仿宋"/>
          <w:sz w:val="32"/>
          <w:szCs w:val="32"/>
        </w:rPr>
        <w:t>评标过程中评标委</w:t>
      </w:r>
      <w:r>
        <w:rPr>
          <w:rFonts w:hint="eastAsia" w:ascii="仿宋" w:hAnsi="仿宋" w:eastAsia="仿宋"/>
          <w:sz w:val="32"/>
          <w:szCs w:val="32"/>
        </w:rPr>
        <w:t>员会可通过</w:t>
      </w:r>
      <w:r>
        <w:rPr>
          <w:rFonts w:hint="eastAsia" w:ascii="仿宋" w:hAnsi="仿宋" w:eastAsia="仿宋" w:cs="仿宋"/>
          <w:sz w:val="32"/>
          <w:szCs w:val="32"/>
        </w:rPr>
        <w:t>交易系统评标模块点击“澄清”按键</w:t>
      </w:r>
      <w:r>
        <w:rPr>
          <w:rFonts w:hint="eastAsia" w:ascii="仿宋" w:hAnsi="仿宋" w:eastAsia="仿宋"/>
          <w:sz w:val="32"/>
          <w:szCs w:val="32"/>
        </w:rPr>
        <w:t>向投标人就投标文件中前后有矛盾、表述不明晰等问题发起澄清，投标人在线进行文字解释，澄清范围仅限于投标文件本身，不得改变投标文件的实质性内容。</w:t>
      </w:r>
      <w:r>
        <w:rPr>
          <w:rFonts w:hint="eastAsia" w:ascii="仿宋" w:hAnsi="仿宋" w:eastAsia="仿宋" w:cs="仿宋"/>
          <w:sz w:val="32"/>
          <w:szCs w:val="32"/>
        </w:rPr>
        <w:t>投标人在收到电子交易平台发出的澄清、答疑手机短信后，需及时登录交易系统“评标澄清回复”模块查看需要澄清、答疑的内容，并在规定时间内线上完成澄清、答疑事项。投标人未及时登录交易系统并在规定的时间内没有完成澄清、答疑的，视同放弃澄清、答疑的权力。</w:t>
      </w:r>
    </w:p>
    <w:p>
      <w:pPr>
        <w:widowControl/>
        <w:autoSpaceDE w:val="0"/>
        <w:autoSpaceDN w:val="0"/>
        <w:ind w:firstLine="200"/>
        <w:rPr>
          <w:rFonts w:ascii="仿宋" w:hAnsi="仿宋" w:eastAsia="仿宋" w:cs="仿宋"/>
          <w:sz w:val="32"/>
          <w:szCs w:val="32"/>
          <w:lang w:val="en"/>
        </w:rPr>
      </w:pPr>
      <w:r>
        <w:rPr>
          <w:rFonts w:hint="eastAsia" w:ascii="仿宋" w:hAnsi="仿宋" w:eastAsia="仿宋" w:cs="仿宋"/>
          <w:kern w:val="0"/>
          <w:sz w:val="32"/>
          <w:szCs w:val="32"/>
        </w:rPr>
        <w:t xml:space="preserve">  </w:t>
      </w:r>
      <w:r>
        <w:rPr>
          <w:rFonts w:hint="eastAsia" w:ascii="仿宋" w:hAnsi="仿宋" w:eastAsia="仿宋" w:cs="华文仿宋"/>
          <w:b/>
          <w:bCs/>
          <w:kern w:val="0"/>
          <w:sz w:val="32"/>
          <w:szCs w:val="32"/>
        </w:rPr>
        <w:t>第三十六条【评标过程异常情况处理】</w:t>
      </w:r>
      <w:r>
        <w:rPr>
          <w:rFonts w:hint="eastAsia" w:ascii="仿宋" w:hAnsi="仿宋" w:eastAsia="仿宋" w:cs="华文仿宋"/>
          <w:bCs/>
          <w:kern w:val="0"/>
          <w:sz w:val="32"/>
          <w:szCs w:val="32"/>
        </w:rPr>
        <w:t>评标过程中</w:t>
      </w:r>
      <w:r>
        <w:rPr>
          <w:rFonts w:hint="eastAsia" w:ascii="仿宋" w:hAnsi="仿宋" w:eastAsia="仿宋" w:cs="仿宋"/>
          <w:sz w:val="32"/>
          <w:szCs w:val="32"/>
          <w:lang w:val="en"/>
        </w:rPr>
        <w:t>若出现相关异常情况，应</w:t>
      </w:r>
      <w:r>
        <w:rPr>
          <w:rFonts w:hint="eastAsia" w:ascii="仿宋" w:hAnsi="仿宋" w:eastAsia="仿宋" w:cs="仿宋"/>
          <w:sz w:val="32"/>
          <w:szCs w:val="32"/>
        </w:rPr>
        <w:t>按照下列原则进行处理：</w:t>
      </w:r>
    </w:p>
    <w:p>
      <w:pPr>
        <w:spacing w:line="360" w:lineRule="auto"/>
        <w:ind w:firstLine="640" w:firstLineChars="200"/>
        <w:outlineLvl w:val="1"/>
        <w:rPr>
          <w:rFonts w:ascii="仿宋" w:hAnsi="仿宋" w:eastAsia="仿宋" w:cs="华文仿宋"/>
          <w:b/>
          <w:bCs/>
          <w:kern w:val="0"/>
          <w:sz w:val="32"/>
          <w:szCs w:val="32"/>
        </w:rPr>
      </w:pPr>
      <w:r>
        <w:rPr>
          <w:rFonts w:hint="eastAsia" w:ascii="仿宋" w:hAnsi="仿宋" w:eastAsia="仿宋" w:cs="仿宋"/>
          <w:sz w:val="32"/>
          <w:szCs w:val="32"/>
          <w:lang w:val="en"/>
        </w:rPr>
        <w:t>（1）</w:t>
      </w:r>
      <w:r>
        <w:rPr>
          <w:rFonts w:hint="eastAsia" w:ascii="仿宋" w:hAnsi="仿宋" w:eastAsia="仿宋" w:cs="仿宋"/>
          <w:sz w:val="32"/>
          <w:szCs w:val="32"/>
        </w:rPr>
        <w:t>出现</w:t>
      </w:r>
      <w:r>
        <w:rPr>
          <w:rFonts w:hint="eastAsia" w:ascii="仿宋" w:hAnsi="仿宋" w:eastAsia="仿宋"/>
          <w:sz w:val="32"/>
          <w:szCs w:val="32"/>
        </w:rPr>
        <w:t>交易系统中主、客观分评审点性质关联匹配有误的情形时：对于交易流程中原始主、客观分评审点性质的设定可再次由评标委员会集体决定进行修正和确认，交易系统设置了评标委员会自主修改主、客观分评审点性质的功能；</w:t>
      </w:r>
    </w:p>
    <w:p>
      <w:pPr>
        <w:spacing w:line="360" w:lineRule="auto"/>
        <w:ind w:firstLine="640" w:firstLineChars="200"/>
        <w:outlineLvl w:val="1"/>
        <w:rPr>
          <w:rFonts w:ascii="仿宋" w:hAnsi="仿宋" w:eastAsia="仿宋" w:cs="仿宋"/>
          <w:sz w:val="32"/>
          <w:szCs w:val="32"/>
        </w:rPr>
      </w:pPr>
      <w:r>
        <w:rPr>
          <w:rFonts w:hint="eastAsia" w:ascii="仿宋" w:hAnsi="仿宋" w:eastAsia="仿宋"/>
          <w:kern w:val="0"/>
          <w:sz w:val="32"/>
          <w:szCs w:val="32"/>
        </w:rPr>
        <w:t>（2）出现交易系统中评分点计算公式等与招标文件设置匹配错误的</w:t>
      </w:r>
      <w:r>
        <w:rPr>
          <w:rFonts w:hint="eastAsia" w:ascii="仿宋" w:hAnsi="仿宋" w:eastAsia="仿宋"/>
          <w:sz w:val="32"/>
          <w:szCs w:val="32"/>
        </w:rPr>
        <w:t>情形时</w:t>
      </w:r>
      <w:r>
        <w:rPr>
          <w:rFonts w:hint="eastAsia" w:ascii="仿宋" w:hAnsi="仿宋" w:eastAsia="仿宋"/>
          <w:kern w:val="0"/>
          <w:sz w:val="32"/>
          <w:szCs w:val="32"/>
        </w:rPr>
        <w:t>：评标过程中发现评分点计算公式与招标文件设置存在全部遗漏缺失的由交易中心技术人员核实后现场予以修正；评标过程中发现评分点计算公式与招标文件设置匹配错误不能再进行修改，因招标代理机构编制电子招标文件匹配交易流程时设置出现错误而导致评标无法继续进行的，需经项目行政监督部门同意修正后组织复评，由招标代理机构重新预约场地，并对录入错误问题予以修正，交易系统对修正前后情况予以记录</w:t>
      </w:r>
      <w:r>
        <w:rPr>
          <w:rFonts w:hint="eastAsia" w:ascii="仿宋" w:hAnsi="仿宋" w:eastAsia="仿宋" w:cs="仿宋"/>
          <w:sz w:val="32"/>
          <w:szCs w:val="32"/>
        </w:rPr>
        <w:t>；</w:t>
      </w:r>
    </w:p>
    <w:p>
      <w:pPr>
        <w:spacing w:line="360" w:lineRule="auto"/>
        <w:ind w:firstLine="640" w:firstLineChars="200"/>
        <w:outlineLvl w:val="1"/>
        <w:rPr>
          <w:rFonts w:ascii="仿宋" w:hAnsi="仿宋" w:eastAsia="仿宋" w:cs="仿宋"/>
          <w:sz w:val="32"/>
          <w:szCs w:val="32"/>
        </w:rPr>
      </w:pPr>
      <w:r>
        <w:rPr>
          <w:rFonts w:hint="eastAsia" w:ascii="仿宋" w:hAnsi="仿宋" w:eastAsia="仿宋"/>
          <w:sz w:val="32"/>
          <w:szCs w:val="32"/>
        </w:rPr>
        <w:t>（3）出现投标文件不满足评审因素条件、招标文件条款存在歧义无法正常评审等情形时</w:t>
      </w:r>
      <w:r>
        <w:rPr>
          <w:rFonts w:hint="eastAsia" w:ascii="仿宋" w:hAnsi="仿宋" w:eastAsia="仿宋"/>
          <w:kern w:val="0"/>
          <w:sz w:val="32"/>
          <w:szCs w:val="32"/>
        </w:rPr>
        <w:t>：由评标委员会集体决策作出废标决定时，需</w:t>
      </w:r>
      <w:r>
        <w:rPr>
          <w:rFonts w:hint="eastAsia" w:ascii="仿宋" w:hAnsi="仿宋" w:eastAsia="仿宋"/>
          <w:sz w:val="32"/>
          <w:szCs w:val="32"/>
        </w:rPr>
        <w:t>在评标系统中对应的评审阶段点击确定（综合评分法和技术评分最低标价法在商务技术评分阶段不能废标），废标环节、阶段、原因和理由需按照评标系统内置固化的统一格式勾选、填写，不能随意进行更改、删除或随意填写，评标委员会需对项目废标情况负责。</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第三十七条【项目复核】</w:t>
      </w:r>
      <w:r>
        <w:rPr>
          <w:rFonts w:hint="eastAsia" w:ascii="仿宋" w:hAnsi="仿宋" w:eastAsia="仿宋" w:cs="仿宋"/>
          <w:sz w:val="32"/>
          <w:szCs w:val="32"/>
        </w:rPr>
        <w:t>招标代理机构需指派项目负责人在交易现场通过线上对评标结果进行复核，复核范围为客观分评审内容，操作流程如下：</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（1）评标委员会在完成正常评审后，评标系统未完成总分汇总、中标候选人排序及签章之前，评标委员会组长在评标系统点击“申请招标人复核”按键</w:t>
      </w:r>
      <w:r>
        <w:rPr>
          <w:rFonts w:hint="eastAsia" w:ascii="仿宋" w:hAnsi="仿宋" w:eastAsia="仿宋"/>
          <w:sz w:val="32"/>
          <w:szCs w:val="32"/>
        </w:rPr>
        <w:t>，系统自动短信通知</w:t>
      </w:r>
      <w:r>
        <w:rPr>
          <w:rFonts w:hint="eastAsia" w:ascii="仿宋" w:hAnsi="仿宋" w:eastAsia="仿宋" w:cs="仿宋"/>
          <w:sz w:val="32"/>
          <w:szCs w:val="32"/>
        </w:rPr>
        <w:t>招标代理机构</w:t>
      </w:r>
      <w:r>
        <w:rPr>
          <w:rFonts w:hint="eastAsia" w:ascii="仿宋" w:hAnsi="仿宋" w:eastAsia="仿宋"/>
          <w:sz w:val="32"/>
          <w:szCs w:val="32"/>
        </w:rPr>
        <w:t>进行复核；</w:t>
      </w:r>
    </w:p>
    <w:p>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（2）招标代理机构收到项目复核短信通知后，登录交易系统找到相应项目，按系统提示流程</w:t>
      </w:r>
      <w:r>
        <w:rPr>
          <w:rFonts w:hint="eastAsia" w:ascii="仿宋" w:hAnsi="仿宋" w:eastAsia="仿宋"/>
          <w:sz w:val="32"/>
          <w:szCs w:val="32"/>
        </w:rPr>
        <w:t>对客观分评审点的一致性和正确性</w:t>
      </w:r>
      <w:r>
        <w:rPr>
          <w:rFonts w:hint="eastAsia" w:ascii="仿宋" w:hAnsi="仿宋" w:eastAsia="仿宋" w:cs="仿宋"/>
          <w:sz w:val="32"/>
          <w:szCs w:val="32"/>
        </w:rPr>
        <w:t>开展在线复核，复核意见不得向评标委员会专家作倾向性、误导性的解释或者超出招标文件规定的说明，并将复核意见</w:t>
      </w:r>
      <w:r>
        <w:rPr>
          <w:rFonts w:hint="eastAsia" w:ascii="仿宋" w:hAnsi="仿宋" w:eastAsia="仿宋"/>
          <w:sz w:val="32"/>
          <w:szCs w:val="32"/>
        </w:rPr>
        <w:t>以文字形式</w:t>
      </w:r>
      <w:r>
        <w:rPr>
          <w:rFonts w:hint="eastAsia" w:ascii="仿宋" w:hAnsi="仿宋" w:eastAsia="仿宋" w:cs="仿宋"/>
          <w:sz w:val="32"/>
          <w:szCs w:val="32"/>
        </w:rPr>
        <w:t>线上一次性提交评标委员会，</w:t>
      </w:r>
      <w:r>
        <w:rPr>
          <w:rFonts w:hint="eastAsia" w:ascii="仿宋" w:hAnsi="仿宋" w:eastAsia="仿宋"/>
          <w:sz w:val="32"/>
          <w:szCs w:val="32"/>
        </w:rPr>
        <w:t>评标委员会对复核意见进行确认，经确认确实存在客观分评审点错误的，评标专家需退回并修改</w:t>
      </w:r>
      <w:r>
        <w:rPr>
          <w:rFonts w:hint="eastAsia" w:ascii="仿宋" w:hAnsi="仿宋" w:eastAsia="仿宋" w:cs="仿宋"/>
          <w:sz w:val="32"/>
          <w:szCs w:val="32"/>
        </w:rPr>
        <w:t>招标代理机构</w:t>
      </w:r>
      <w:r>
        <w:rPr>
          <w:rFonts w:hint="eastAsia" w:ascii="仿宋" w:hAnsi="仿宋" w:eastAsia="仿宋"/>
          <w:sz w:val="32"/>
          <w:szCs w:val="32"/>
        </w:rPr>
        <w:t>提出复核疑问的评审点，系统自动将评标专家修改后的结果进行保存并直接进入下一步流程，不需要</w:t>
      </w:r>
      <w:r>
        <w:rPr>
          <w:rFonts w:hint="eastAsia" w:ascii="仿宋" w:hAnsi="仿宋" w:eastAsia="仿宋" w:cs="仿宋"/>
          <w:sz w:val="32"/>
          <w:szCs w:val="32"/>
        </w:rPr>
        <w:t>招标代理机构</w:t>
      </w:r>
      <w:r>
        <w:rPr>
          <w:rFonts w:hint="eastAsia" w:ascii="仿宋" w:hAnsi="仿宋" w:eastAsia="仿宋"/>
          <w:sz w:val="32"/>
          <w:szCs w:val="32"/>
        </w:rPr>
        <w:t>再次确认或复核</w:t>
      </w:r>
      <w:r>
        <w:rPr>
          <w:rFonts w:hint="eastAsia" w:ascii="仿宋" w:hAnsi="仿宋" w:eastAsia="仿宋" w:cs="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（3）</w:t>
      </w:r>
      <w:r>
        <w:rPr>
          <w:rFonts w:hint="eastAsia" w:ascii="仿宋" w:hAnsi="仿宋" w:eastAsia="仿宋"/>
          <w:sz w:val="32"/>
          <w:szCs w:val="32"/>
        </w:rPr>
        <w:t>项目复核基准时长原则上为2小时，因项目评审复杂或投标人数量过多的，招标代理机构可以写明理由延长30分钟，复核结束前20分钟倒计时提醒，评标过程中招标代理机构需及时关注短信或交易系统中的提醒消息开始复核，如复核结束前招标代理机构未点击确认复核结束，系统将视为复核完成，自动通过。见证系统自动记录复核前评审原始情况、复核意见和专家采纳意见情况。</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第三十八条【签署评标报告】</w:t>
      </w:r>
      <w:r>
        <w:rPr>
          <w:rFonts w:hint="eastAsia" w:ascii="仿宋" w:hAnsi="仿宋" w:eastAsia="仿宋" w:cs="仿宋"/>
          <w:sz w:val="32"/>
          <w:szCs w:val="32"/>
        </w:rPr>
        <w:t>评标委员会成员需使用手写签名板对评标报告进行电子签章。对评标结果有不同意见的评标委员会成员需填写其不同的意见和理由，并在评标报告中注明。评标委员会成员拒绝在评标报告上签字又不书面说明其不同意见和理由的，视为同意评标结果。</w:t>
      </w:r>
    </w:p>
    <w:p>
      <w:pPr>
        <w:spacing w:line="360" w:lineRule="auto"/>
        <w:ind w:firstLine="643" w:firstLineChars="200"/>
        <w:outlineLvl w:val="1"/>
        <w:rPr>
          <w:rFonts w:ascii="仿宋" w:hAnsi="仿宋" w:eastAsia="仿宋"/>
          <w:sz w:val="32"/>
          <w:szCs w:val="32"/>
        </w:rPr>
      </w:pPr>
      <w:bookmarkStart w:id="5" w:name="_Toc137025160"/>
      <w:r>
        <w:rPr>
          <w:rFonts w:hint="eastAsia" w:ascii="仿宋" w:hAnsi="仿宋" w:eastAsia="仿宋" w:cs="华文仿宋"/>
          <w:b/>
          <w:bCs/>
          <w:kern w:val="0"/>
          <w:sz w:val="32"/>
          <w:szCs w:val="32"/>
        </w:rPr>
        <w:t>第三十九条【评标结果推送】</w:t>
      </w:r>
      <w:r>
        <w:rPr>
          <w:rFonts w:hint="eastAsia" w:ascii="仿宋" w:hAnsi="仿宋" w:eastAsia="仿宋" w:cs="华文仿宋"/>
          <w:bCs/>
          <w:kern w:val="0"/>
          <w:sz w:val="32"/>
          <w:szCs w:val="32"/>
        </w:rPr>
        <w:t xml:space="preserve">经评标委员会成员签章同意的评标报告自动推送流转至下一流程，相关结果推送招标人确认。 </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第九章 复评</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第四十条【复评</w:t>
      </w:r>
      <w:bookmarkEnd w:id="5"/>
      <w:r>
        <w:rPr>
          <w:rFonts w:hint="eastAsia" w:ascii="仿宋" w:hAnsi="仿宋" w:eastAsia="仿宋" w:cs="华文仿宋"/>
          <w:b/>
          <w:bCs/>
          <w:kern w:val="0"/>
          <w:sz w:val="32"/>
          <w:szCs w:val="32"/>
        </w:rPr>
        <w:t>条件】</w:t>
      </w:r>
      <w:r>
        <w:rPr>
          <w:rFonts w:hint="eastAsia" w:ascii="仿宋" w:hAnsi="仿宋" w:eastAsia="仿宋" w:cs="仿宋"/>
          <w:sz w:val="32"/>
          <w:szCs w:val="32"/>
        </w:rPr>
        <w:t>评标结束后，经行业行政监督部门批准同意复评的项目可开展项目复评。招标代理机构需在交易系统“变更公告”模块发布复评公告，经交易系统自动推送至交易服务平台对外发布。</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复评公告发布后招标代理机构在交易系统“项目复评申请”模块点击“新增复评信息”按键上传复评申请材料，包括行业行政监督部门同意复评的书面文件及相关附件（含招标人往行政监督部门的复评请示）、在交易服务平台发布复评公告的网上截图，交易中心对招标代理机构网上提交的复评材料要件的完整性进行审核。</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第四十一条【复评场地预约】</w:t>
      </w:r>
      <w:r>
        <w:rPr>
          <w:rFonts w:hint="eastAsia" w:ascii="仿宋" w:hAnsi="仿宋" w:eastAsia="仿宋" w:cs="仿宋"/>
          <w:sz w:val="32"/>
          <w:szCs w:val="32"/>
        </w:rPr>
        <w:t>复评申请材料线上审核通过后，招标代理机构按场地预约流程预约复评时间及场地，复评场地由系统自动随机分配。</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第四十二条【复评委员会组建】</w:t>
      </w:r>
      <w:r>
        <w:rPr>
          <w:rFonts w:hint="eastAsia" w:ascii="仿宋" w:hAnsi="仿宋" w:eastAsia="仿宋" w:cs="华文仿宋"/>
          <w:bCs/>
          <w:kern w:val="0"/>
          <w:sz w:val="32"/>
          <w:szCs w:val="32"/>
        </w:rPr>
        <w:t>复评委员会组建方式</w:t>
      </w:r>
      <w:r>
        <w:rPr>
          <w:rFonts w:hint="eastAsia" w:ascii="仿宋" w:hAnsi="仿宋" w:eastAsia="仿宋" w:cs="仿宋"/>
          <w:sz w:val="32"/>
          <w:szCs w:val="32"/>
        </w:rPr>
        <w:t>由行业行政监督部门决定，可由原评标委员会专家或新抽取专家组成，原评标委员会专家由交易系统自动通知或由交易中心采用录音电话通知，新抽取专家按评标专家抽取流程办理。</w:t>
      </w:r>
    </w:p>
    <w:p>
      <w:pPr>
        <w:spacing w:line="360" w:lineRule="auto"/>
        <w:jc w:val="center"/>
        <w:rPr>
          <w:rFonts w:ascii="黑体" w:hAnsi="黑体" w:eastAsia="黑体" w:cs="黑体"/>
          <w:sz w:val="32"/>
          <w:szCs w:val="32"/>
        </w:rPr>
      </w:pPr>
      <w:bookmarkStart w:id="6" w:name="_Toc137025153"/>
      <w:r>
        <w:rPr>
          <w:rFonts w:hint="eastAsia" w:ascii="黑体" w:hAnsi="黑体" w:eastAsia="黑体" w:cs="黑体"/>
          <w:sz w:val="32"/>
          <w:szCs w:val="32"/>
        </w:rPr>
        <w:t>第十章 中标公告及合同签订</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第四十三条【中标候选人公示</w:t>
      </w:r>
      <w:bookmarkEnd w:id="6"/>
      <w:r>
        <w:rPr>
          <w:rFonts w:hint="eastAsia" w:ascii="仿宋" w:hAnsi="仿宋" w:eastAsia="仿宋" w:cs="华文仿宋"/>
          <w:b/>
          <w:bCs/>
          <w:kern w:val="0"/>
          <w:sz w:val="32"/>
          <w:szCs w:val="32"/>
        </w:rPr>
        <w:t>】</w:t>
      </w:r>
      <w:r>
        <w:rPr>
          <w:rFonts w:hint="eastAsia" w:ascii="仿宋" w:hAnsi="仿宋" w:eastAsia="仿宋" w:cs="仿宋"/>
          <w:sz w:val="32"/>
          <w:szCs w:val="32"/>
        </w:rPr>
        <w:t>招标代理机构按照评标报告结果在交易系统“中标候选人公示”模块点击“新增中标候选人公示”按键发布中标候选人公示，中标候选人公示通过交易系统自动推送至湖南省招标投标监管网和交易服务平台统一对外发布。</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多标段</w:t>
      </w:r>
      <w:r>
        <w:rPr>
          <w:rFonts w:hint="eastAsia" w:ascii="仿宋" w:hAnsi="仿宋" w:eastAsia="仿宋"/>
          <w:sz w:val="32"/>
          <w:szCs w:val="32"/>
        </w:rPr>
        <w:t>不同室评标但</w:t>
      </w:r>
      <w:r>
        <w:rPr>
          <w:rFonts w:hint="eastAsia" w:ascii="仿宋" w:hAnsi="仿宋" w:eastAsia="仿宋" w:cs="仿宋"/>
          <w:sz w:val="32"/>
          <w:szCs w:val="32"/>
        </w:rPr>
        <w:t>有“多投中一”原则的项目，最终中标候选人排序由招标代理机构依据评标委员会的评分排序结果并按照招标文件明确的中标候选人排序规则填报确认，并在交易系统中标候选人公示模板中写明“在不改变评标委员会独立评分结果的基础上，由招标代理机构严格按照招标文件清晰的中标候选人排序规则，依据评标委员会的评分排序结果确认最终中标候选人排序。如果其招标文件无明确、清晰的中标候选人排序规则，则以评标委员会的评分结果为最终排序结果。”招标代理机构需将评标委员会评分排序和最终中标候选人排序同步公示。</w:t>
      </w:r>
    </w:p>
    <w:p>
      <w:pPr>
        <w:spacing w:line="360" w:lineRule="auto"/>
        <w:ind w:firstLine="643" w:firstLineChars="200"/>
        <w:rPr>
          <w:rFonts w:ascii="仿宋" w:hAnsi="仿宋" w:eastAsia="仿宋" w:cs="方正黑体_GBK"/>
          <w:sz w:val="32"/>
          <w:szCs w:val="32"/>
        </w:rPr>
      </w:pPr>
      <w:bookmarkStart w:id="7" w:name="_Toc137025154"/>
      <w:r>
        <w:rPr>
          <w:rFonts w:hint="eastAsia" w:ascii="仿宋" w:hAnsi="仿宋" w:eastAsia="仿宋" w:cs="华文仿宋"/>
          <w:b/>
          <w:bCs/>
          <w:kern w:val="0"/>
          <w:sz w:val="32"/>
          <w:szCs w:val="32"/>
        </w:rPr>
        <w:t>第四十四条【中标结果公告</w:t>
      </w:r>
      <w:bookmarkEnd w:id="7"/>
      <w:r>
        <w:rPr>
          <w:rFonts w:hint="eastAsia" w:ascii="仿宋" w:hAnsi="仿宋" w:eastAsia="仿宋" w:cs="华文仿宋"/>
          <w:b/>
          <w:bCs/>
          <w:kern w:val="0"/>
          <w:sz w:val="32"/>
          <w:szCs w:val="32"/>
        </w:rPr>
        <w:t>】</w:t>
      </w:r>
      <w:r>
        <w:rPr>
          <w:rFonts w:hint="eastAsia" w:ascii="仿宋" w:hAnsi="仿宋" w:eastAsia="仿宋" w:cs="仿宋"/>
          <w:sz w:val="32"/>
          <w:szCs w:val="32"/>
        </w:rPr>
        <w:t>招标代理机构登录交易系统“中标结果公告”模块点击“新增中标结果公告”按键发布中标结果公告，项目</w:t>
      </w:r>
      <w:r>
        <w:rPr>
          <w:rFonts w:hint="eastAsia" w:ascii="仿宋" w:hAnsi="仿宋" w:eastAsia="仿宋"/>
          <w:sz w:val="32"/>
          <w:szCs w:val="32"/>
        </w:rPr>
        <w:t>复评后如改变原中标结果的需由招标代理机构登录交易系统“评标信息变更”模块点击“新增评标信息变更”按键完成中标结果变更流程。</w:t>
      </w:r>
    </w:p>
    <w:p>
      <w:pPr>
        <w:spacing w:line="360" w:lineRule="auto"/>
        <w:ind w:firstLine="643" w:firstLineChars="200"/>
        <w:rPr>
          <w:rFonts w:ascii="仿宋" w:hAnsi="仿宋" w:eastAsia="仿宋"/>
          <w:sz w:val="32"/>
          <w:szCs w:val="32"/>
        </w:rPr>
      </w:pPr>
      <w:bookmarkStart w:id="8" w:name="_Toc137025155"/>
      <w:r>
        <w:rPr>
          <w:rFonts w:hint="eastAsia" w:ascii="仿宋" w:hAnsi="仿宋" w:eastAsia="仿宋" w:cs="华文仿宋"/>
          <w:b/>
          <w:bCs/>
          <w:kern w:val="0"/>
          <w:sz w:val="32"/>
          <w:szCs w:val="32"/>
        </w:rPr>
        <w:t>第四十五条【中标通知书</w:t>
      </w:r>
      <w:bookmarkEnd w:id="8"/>
      <w:r>
        <w:rPr>
          <w:rFonts w:hint="eastAsia" w:ascii="仿宋" w:hAnsi="仿宋" w:eastAsia="仿宋" w:cs="华文仿宋"/>
          <w:b/>
          <w:bCs/>
          <w:kern w:val="0"/>
          <w:sz w:val="32"/>
          <w:szCs w:val="32"/>
        </w:rPr>
        <w:t>】</w:t>
      </w:r>
      <w:r>
        <w:rPr>
          <w:rFonts w:hint="eastAsia" w:ascii="仿宋" w:hAnsi="仿宋" w:eastAsia="仿宋"/>
          <w:sz w:val="32"/>
          <w:szCs w:val="32"/>
        </w:rPr>
        <w:t>完成中标结果公告流程及交易主体履行交易服务费缴纳义务后，</w:t>
      </w:r>
      <w:r>
        <w:rPr>
          <w:rFonts w:hint="eastAsia" w:ascii="仿宋" w:hAnsi="仿宋" w:eastAsia="仿宋" w:cs="仿宋"/>
          <w:sz w:val="32"/>
          <w:szCs w:val="32"/>
        </w:rPr>
        <w:t>招标代理机构登录交易系统“中标通知书”模块点击“新增中标通知书”按键，自动获取项目交易信息生成中标通知书，并</w:t>
      </w:r>
      <w:r>
        <w:rPr>
          <w:rFonts w:hint="eastAsia" w:ascii="仿宋" w:hAnsi="仿宋" w:eastAsia="仿宋"/>
          <w:sz w:val="32"/>
          <w:szCs w:val="32"/>
        </w:rPr>
        <w:t>由招标人和招标代理机构共同加盖电子公章后，中标人即可登录交易系统自行下载打印带水印标记的中标通知书，</w:t>
      </w:r>
      <w:r>
        <w:rPr>
          <w:rFonts w:hint="eastAsia" w:ascii="仿宋" w:hAnsi="仿宋" w:eastAsia="仿宋" w:cs="仿宋"/>
          <w:sz w:val="32"/>
          <w:szCs w:val="32"/>
        </w:rPr>
        <w:t>同时交易系统将中标结果推送至其他未中标的投标人</w:t>
      </w:r>
      <w:r>
        <w:rPr>
          <w:rFonts w:hint="eastAsia" w:ascii="仿宋" w:hAnsi="仿宋" w:eastAsia="仿宋"/>
          <w:sz w:val="32"/>
          <w:szCs w:val="32"/>
        </w:rPr>
        <w:t>。存在投诉未处理完毕的项目（即进入了投诉模块流程，但招标人或行政监督部门在平台内未点击确认处理完毕）由系统自动管控不能进入生成中标通知书环节。</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第四十六条【签订合同】</w:t>
      </w:r>
      <w:r>
        <w:rPr>
          <w:rFonts w:hint="eastAsia" w:ascii="仿宋" w:hAnsi="仿宋" w:eastAsia="仿宋" w:cs="华文仿宋"/>
          <w:bCs/>
          <w:kern w:val="0"/>
          <w:sz w:val="32"/>
          <w:szCs w:val="32"/>
        </w:rPr>
        <w:t>招标人与</w:t>
      </w:r>
      <w:r>
        <w:rPr>
          <w:rFonts w:hint="eastAsia" w:ascii="仿宋" w:hAnsi="仿宋" w:eastAsia="仿宋" w:cs="仿宋"/>
          <w:sz w:val="32"/>
          <w:szCs w:val="32"/>
        </w:rPr>
        <w:t>中标人在约定的期限内登录交易系统“合同签订”模块按照交易系统中合同范本统一模板格式在线签订项目合同，合同的相关信息在交易服务平台予以发布。</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第十一章  数字见证与调度管理</w:t>
      </w:r>
    </w:p>
    <w:p>
      <w:pPr>
        <w:spacing w:line="360" w:lineRule="auto"/>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第四十七条【交易</w:t>
      </w:r>
      <w:r>
        <w:rPr>
          <w:rFonts w:hint="eastAsia" w:ascii="仿宋" w:hAnsi="仿宋" w:eastAsia="仿宋" w:cs="华文仿宋"/>
          <w:b/>
          <w:bCs/>
          <w:sz w:val="32"/>
          <w:szCs w:val="32"/>
        </w:rPr>
        <w:t>见证</w:t>
      </w:r>
      <w:r>
        <w:rPr>
          <w:rFonts w:hint="eastAsia" w:ascii="仿宋" w:hAnsi="仿宋" w:eastAsia="仿宋" w:cs="华文仿宋"/>
          <w:b/>
          <w:bCs/>
          <w:kern w:val="0"/>
          <w:sz w:val="32"/>
          <w:szCs w:val="32"/>
        </w:rPr>
        <w:t>】</w:t>
      </w:r>
      <w:r>
        <w:rPr>
          <w:rFonts w:hint="eastAsia" w:ascii="仿宋" w:hAnsi="仿宋" w:eastAsia="仿宋" w:cs="华文仿宋"/>
          <w:kern w:val="0"/>
          <w:sz w:val="32"/>
          <w:szCs w:val="32"/>
        </w:rPr>
        <w:t>交易中心对进场交易项目实行全过程数字见证，</w:t>
      </w:r>
      <w:r>
        <w:rPr>
          <w:rFonts w:hint="eastAsia" w:ascii="仿宋" w:hAnsi="仿宋" w:eastAsia="仿宋" w:cs="方正黑体简体"/>
          <w:kern w:val="0"/>
          <w:sz w:val="32"/>
          <w:szCs w:val="32"/>
        </w:rPr>
        <w:t>见证方式采用系统见证为主，人工见证为辅。</w:t>
      </w:r>
      <w:r>
        <w:rPr>
          <w:rFonts w:hint="eastAsia" w:ascii="仿宋" w:hAnsi="仿宋" w:eastAsia="仿宋" w:cs="华文仿宋"/>
          <w:kern w:val="0"/>
          <w:sz w:val="32"/>
          <w:szCs w:val="32"/>
        </w:rPr>
        <w:t>见证服务涵盖开标、专家抽取、评标、现场监督等环节。</w:t>
      </w:r>
    </w:p>
    <w:p>
      <w:pPr>
        <w:spacing w:line="360" w:lineRule="auto"/>
        <w:ind w:firstLine="643" w:firstLineChars="200"/>
        <w:rPr>
          <w:rFonts w:ascii="仿宋" w:hAnsi="仿宋" w:eastAsia="仿宋" w:cs="方正黑体简体"/>
          <w:kern w:val="0"/>
          <w:sz w:val="32"/>
          <w:szCs w:val="32"/>
        </w:rPr>
      </w:pPr>
      <w:r>
        <w:rPr>
          <w:rFonts w:hint="eastAsia" w:ascii="仿宋" w:hAnsi="仿宋" w:eastAsia="仿宋" w:cs="华文仿宋"/>
          <w:b/>
          <w:bCs/>
          <w:kern w:val="0"/>
          <w:sz w:val="32"/>
          <w:szCs w:val="32"/>
        </w:rPr>
        <w:t>第四十八条【</w:t>
      </w:r>
      <w:r>
        <w:rPr>
          <w:rFonts w:hint="eastAsia" w:ascii="仿宋" w:hAnsi="仿宋" w:eastAsia="仿宋" w:cs="华文仿宋"/>
          <w:b/>
          <w:bCs/>
          <w:sz w:val="32"/>
          <w:szCs w:val="32"/>
        </w:rPr>
        <w:t>见证情况处理</w:t>
      </w:r>
      <w:r>
        <w:rPr>
          <w:rFonts w:hint="eastAsia" w:ascii="仿宋" w:hAnsi="仿宋" w:eastAsia="仿宋" w:cs="华文仿宋"/>
          <w:b/>
          <w:bCs/>
          <w:kern w:val="0"/>
          <w:sz w:val="32"/>
          <w:szCs w:val="32"/>
        </w:rPr>
        <w:t>】</w:t>
      </w:r>
      <w:r>
        <w:rPr>
          <w:rFonts w:hint="eastAsia" w:ascii="仿宋" w:hAnsi="仿宋" w:eastAsia="仿宋" w:cs="华文仿宋"/>
          <w:bCs/>
          <w:kern w:val="0"/>
          <w:sz w:val="32"/>
          <w:szCs w:val="32"/>
        </w:rPr>
        <w:t>交易中心现场</w:t>
      </w:r>
      <w:r>
        <w:rPr>
          <w:rFonts w:hint="eastAsia" w:ascii="仿宋" w:hAnsi="仿宋" w:eastAsia="仿宋" w:cs="华文仿宋"/>
          <w:kern w:val="0"/>
          <w:sz w:val="32"/>
          <w:szCs w:val="32"/>
        </w:rPr>
        <w:t>见证人员通过</w:t>
      </w:r>
      <w:r>
        <w:rPr>
          <w:rFonts w:hint="eastAsia" w:ascii="仿宋" w:hAnsi="仿宋" w:eastAsia="仿宋" w:cs="仿宋"/>
          <w:sz w:val="32"/>
          <w:szCs w:val="32"/>
        </w:rPr>
        <w:t>专用通讯终端</w:t>
      </w:r>
      <w:r>
        <w:rPr>
          <w:rFonts w:hint="eastAsia" w:ascii="仿宋" w:hAnsi="仿宋" w:eastAsia="仿宋" w:cs="华文仿宋"/>
          <w:sz w:val="32"/>
          <w:szCs w:val="32"/>
        </w:rPr>
        <w:t>对评标专家现场违规的行为和现场监督代表可能影响公正的导向性言论给予提醒、制止和记录，</w:t>
      </w:r>
      <w:r>
        <w:rPr>
          <w:rFonts w:hint="eastAsia" w:ascii="仿宋" w:hAnsi="仿宋" w:eastAsia="仿宋" w:cs="华文仿宋"/>
          <w:kern w:val="0"/>
          <w:sz w:val="32"/>
          <w:szCs w:val="32"/>
        </w:rPr>
        <w:t>智能感知设备实时预警信息由见证人员甄别判断后，正确的自动计入见证报告异常情况栏，其他</w:t>
      </w:r>
      <w:r>
        <w:rPr>
          <w:rFonts w:hint="eastAsia" w:ascii="仿宋" w:hAnsi="仿宋" w:eastAsia="仿宋" w:cs="华文仿宋"/>
          <w:sz w:val="32"/>
          <w:szCs w:val="32"/>
        </w:rPr>
        <w:t>现场异常情况由见证人员选择异常情况类型，手动</w:t>
      </w:r>
      <w:r>
        <w:rPr>
          <w:rFonts w:hint="eastAsia" w:ascii="仿宋" w:hAnsi="仿宋" w:eastAsia="仿宋" w:cs="方正黑体简体"/>
          <w:kern w:val="0"/>
          <w:sz w:val="32"/>
          <w:szCs w:val="32"/>
        </w:rPr>
        <w:t>录入处置记录后记入</w:t>
      </w:r>
      <w:r>
        <w:rPr>
          <w:rFonts w:hint="eastAsia" w:ascii="仿宋" w:hAnsi="仿宋" w:eastAsia="仿宋" w:cs="华文仿宋"/>
          <w:kern w:val="0"/>
          <w:sz w:val="32"/>
          <w:szCs w:val="32"/>
        </w:rPr>
        <w:t>异常情况栏</w:t>
      </w:r>
      <w:r>
        <w:rPr>
          <w:rFonts w:hint="eastAsia" w:ascii="仿宋" w:hAnsi="仿宋" w:eastAsia="仿宋" w:cs="方正黑体简体"/>
          <w:kern w:val="0"/>
          <w:sz w:val="32"/>
          <w:szCs w:val="32"/>
        </w:rPr>
        <w:t>。</w:t>
      </w:r>
    </w:p>
    <w:p>
      <w:pPr>
        <w:spacing w:line="360" w:lineRule="auto"/>
        <w:ind w:firstLine="643" w:firstLineChars="200"/>
        <w:outlineLvl w:val="1"/>
        <w:rPr>
          <w:rFonts w:ascii="仿宋" w:hAnsi="仿宋" w:eastAsia="仿宋"/>
          <w:sz w:val="32"/>
          <w:szCs w:val="32"/>
        </w:rPr>
      </w:pPr>
      <w:r>
        <w:rPr>
          <w:rFonts w:hint="eastAsia" w:ascii="仿宋" w:hAnsi="仿宋" w:eastAsia="仿宋" w:cs="华文仿宋"/>
          <w:b/>
          <w:bCs/>
          <w:kern w:val="0"/>
          <w:sz w:val="32"/>
          <w:szCs w:val="32"/>
        </w:rPr>
        <w:t>第四十九条【评标调度】</w:t>
      </w:r>
      <w:r>
        <w:rPr>
          <w:rFonts w:hint="eastAsia" w:ascii="仿宋" w:hAnsi="仿宋" w:eastAsia="仿宋" w:cs="仿宋"/>
          <w:sz w:val="32"/>
          <w:szCs w:val="32"/>
        </w:rPr>
        <w:t>交易中心对评标过程实行全流程电子化见证和调度服务，评标专家如有疑问或寻求相关技术帮助，可直接通过专用通讯终端呼叫交易中心见证室协助解决，交易中心现场</w:t>
      </w:r>
      <w:r>
        <w:rPr>
          <w:rFonts w:hint="eastAsia" w:ascii="仿宋" w:hAnsi="仿宋" w:eastAsia="仿宋"/>
          <w:sz w:val="32"/>
          <w:szCs w:val="32"/>
        </w:rPr>
        <w:t>见证人员调度和回复评标专家发起的与本次评标项目有关的事项。</w:t>
      </w:r>
    </w:p>
    <w:p>
      <w:pPr>
        <w:widowControl/>
        <w:autoSpaceDE w:val="0"/>
        <w:autoSpaceDN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交易中心应严格履行远程异地评标调度的管理责任，评标期间，主、副场均应安排相关工作人员值班，不得任意离岗。评标过程中出现问题，由主场见证人员（值班人员）负责协调调度，按有关现场管理规定执行。</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第五十条【评标监督】</w:t>
      </w:r>
      <w:r>
        <w:rPr>
          <w:rFonts w:hint="eastAsia" w:ascii="仿宋" w:hAnsi="仿宋" w:eastAsia="仿宋"/>
          <w:sz w:val="32"/>
          <w:szCs w:val="32"/>
        </w:rPr>
        <w:t>招标</w:t>
      </w:r>
      <w:r>
        <w:rPr>
          <w:rFonts w:hint="eastAsia" w:ascii="仿宋" w:hAnsi="仿宋" w:eastAsia="仿宋" w:cs="仿宋"/>
          <w:sz w:val="32"/>
          <w:szCs w:val="32"/>
        </w:rPr>
        <w:t xml:space="preserve">人和行政监督部门的现场监督人员需在交易中心的监控室行使现场监督职责：                                                                </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（1）在评标过程中，现场监督人员如发现</w:t>
      </w:r>
      <w:r>
        <w:rPr>
          <w:rFonts w:hint="eastAsia" w:ascii="仿宋" w:hAnsi="仿宋" w:eastAsia="仿宋"/>
          <w:sz w:val="32"/>
          <w:szCs w:val="32"/>
        </w:rPr>
        <w:t>评标现场存在违法违规情况或其他</w:t>
      </w:r>
      <w:r>
        <w:rPr>
          <w:rFonts w:hint="eastAsia" w:ascii="仿宋" w:hAnsi="仿宋" w:eastAsia="仿宋" w:cs="仿宋"/>
          <w:sz w:val="32"/>
          <w:szCs w:val="32"/>
        </w:rPr>
        <w:t>问题，需通过监督席位的专用通讯终端呼叫交易中心见证室，实行三方对讲，与评标委员会进行交流沟通；</w:t>
      </w:r>
    </w:p>
    <w:p>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（2）现场</w:t>
      </w:r>
      <w:r>
        <w:rPr>
          <w:rFonts w:hint="eastAsia" w:ascii="仿宋" w:hAnsi="仿宋" w:eastAsia="仿宋"/>
          <w:sz w:val="32"/>
          <w:szCs w:val="32"/>
        </w:rPr>
        <w:t>监督人员可就法律法规和有关政策文件进行解释，可就评标过程中专家需特别注意的评标条款“原款引用”一次性进行提醒，但不能解读招标文件条款，不能干预专家独立评标。对讲双方需按照规定的原则进行通话，如通话内容明显超出沟通范围，交易中心见证室应及时提醒或制止，并将有关异常情况记入见证记录，明显违法违规的反馈</w:t>
      </w:r>
      <w:r>
        <w:rPr>
          <w:rFonts w:hint="eastAsia" w:ascii="仿宋" w:hAnsi="仿宋" w:eastAsia="仿宋" w:cs="宋体"/>
          <w:kern w:val="0"/>
          <w:sz w:val="32"/>
          <w:szCs w:val="32"/>
        </w:rPr>
        <w:t>同级公共资源交易综合协调机构进行处理</w:t>
      </w:r>
      <w:r>
        <w:rPr>
          <w:rFonts w:hint="eastAsia" w:ascii="仿宋" w:hAnsi="仿宋" w:eastAsia="仿宋"/>
          <w:sz w:val="32"/>
          <w:szCs w:val="32"/>
        </w:rPr>
        <w:t>；</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（3）未在监控室开展现场监督的，现场监督人员不能与评标委员会交流沟通。</w:t>
      </w:r>
    </w:p>
    <w:p>
      <w:pPr>
        <w:spacing w:line="360" w:lineRule="auto"/>
        <w:ind w:firstLine="643" w:firstLineChars="200"/>
        <w:rPr>
          <w:rFonts w:ascii="仿宋" w:hAnsi="仿宋" w:eastAsia="仿宋" w:cs="方正黑体简体"/>
          <w:kern w:val="0"/>
          <w:sz w:val="32"/>
          <w:szCs w:val="32"/>
        </w:rPr>
      </w:pPr>
      <w:r>
        <w:rPr>
          <w:rFonts w:hint="eastAsia" w:ascii="仿宋" w:hAnsi="仿宋" w:eastAsia="仿宋" w:cs="华文仿宋"/>
          <w:b/>
          <w:bCs/>
          <w:kern w:val="0"/>
          <w:sz w:val="32"/>
          <w:szCs w:val="32"/>
        </w:rPr>
        <w:t>第五十一条【</w:t>
      </w:r>
      <w:r>
        <w:rPr>
          <w:rFonts w:hint="eastAsia" w:ascii="仿宋" w:hAnsi="仿宋" w:eastAsia="仿宋" w:cs="华文仿宋"/>
          <w:b/>
          <w:bCs/>
          <w:sz w:val="32"/>
          <w:szCs w:val="32"/>
        </w:rPr>
        <w:t>见证报告查看</w:t>
      </w:r>
      <w:r>
        <w:rPr>
          <w:rFonts w:hint="eastAsia" w:ascii="仿宋" w:hAnsi="仿宋" w:eastAsia="仿宋" w:cs="华文仿宋"/>
          <w:b/>
          <w:bCs/>
          <w:kern w:val="0"/>
          <w:sz w:val="32"/>
          <w:szCs w:val="32"/>
        </w:rPr>
        <w:t>】</w:t>
      </w:r>
      <w:r>
        <w:rPr>
          <w:rFonts w:hint="eastAsia" w:ascii="仿宋" w:hAnsi="仿宋" w:eastAsia="仿宋" w:cs="华文仿宋"/>
          <w:bCs/>
          <w:kern w:val="0"/>
          <w:sz w:val="32"/>
          <w:szCs w:val="32"/>
        </w:rPr>
        <w:t>交易中心进场交易项目实行“一项目一见证”制度，</w:t>
      </w:r>
      <w:r>
        <w:rPr>
          <w:rFonts w:hint="eastAsia" w:ascii="仿宋" w:hAnsi="仿宋" w:eastAsia="仿宋" w:cs="方正黑体简体"/>
          <w:kern w:val="0"/>
          <w:sz w:val="32"/>
          <w:szCs w:val="32"/>
        </w:rPr>
        <w:t>见证过程中的时间节点、数据信息、异常情况等在交易项目评标完成后由见证系统自动归集汇总生成见证报告，见证报告包括项目信息、开评标时间及时长、投标人及投标文件情况、开标现场异议、专家抽取（补抽）情况、评标专家签到及评标情况、监督人员监督情况、评标复核情况、现场异常情况记录及处置等内容。</w:t>
      </w:r>
      <w:r>
        <w:rPr>
          <w:rFonts w:hint="eastAsia" w:ascii="仿宋" w:hAnsi="仿宋" w:eastAsia="仿宋" w:cs="华文仿宋"/>
          <w:kern w:val="0"/>
          <w:sz w:val="32"/>
          <w:szCs w:val="32"/>
        </w:rPr>
        <w:t>见证报告</w:t>
      </w:r>
      <w:r>
        <w:rPr>
          <w:rFonts w:hint="eastAsia" w:ascii="仿宋" w:hAnsi="仿宋" w:eastAsia="仿宋"/>
          <w:sz w:val="32"/>
          <w:szCs w:val="32"/>
        </w:rPr>
        <w:t>在中标候选人公示期间由交易系统自动推送至</w:t>
      </w:r>
      <w:r>
        <w:rPr>
          <w:rFonts w:hint="eastAsia" w:ascii="仿宋" w:hAnsi="仿宋" w:eastAsia="仿宋" w:cs="方正黑体简体"/>
          <w:kern w:val="0"/>
          <w:sz w:val="32"/>
          <w:szCs w:val="32"/>
        </w:rPr>
        <w:t>参与本项目交易活动的相关主体自行查看、下载。</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第五十二条【</w:t>
      </w:r>
      <w:r>
        <w:rPr>
          <w:rFonts w:hint="eastAsia" w:ascii="仿宋" w:hAnsi="仿宋" w:eastAsia="仿宋" w:cs="华文仿宋"/>
          <w:b/>
          <w:bCs/>
          <w:sz w:val="32"/>
          <w:szCs w:val="32"/>
        </w:rPr>
        <w:t>见证人员工作边界</w:t>
      </w:r>
      <w:r>
        <w:rPr>
          <w:rFonts w:hint="eastAsia" w:ascii="仿宋" w:hAnsi="仿宋" w:eastAsia="仿宋" w:cs="华文仿宋"/>
          <w:b/>
          <w:bCs/>
          <w:kern w:val="0"/>
          <w:sz w:val="32"/>
          <w:szCs w:val="32"/>
        </w:rPr>
        <w:t>】</w:t>
      </w:r>
      <w:r>
        <w:rPr>
          <w:rFonts w:hint="eastAsia" w:ascii="仿宋" w:hAnsi="仿宋" w:eastAsia="仿宋" w:cs="华文仿宋"/>
          <w:bCs/>
          <w:kern w:val="0"/>
          <w:sz w:val="32"/>
          <w:szCs w:val="32"/>
        </w:rPr>
        <w:t>交易中心</w:t>
      </w:r>
      <w:r>
        <w:rPr>
          <w:rFonts w:hint="eastAsia" w:ascii="仿宋" w:hAnsi="仿宋" w:eastAsia="仿宋"/>
          <w:sz w:val="32"/>
          <w:szCs w:val="32"/>
        </w:rPr>
        <w:t>见证人员对交易项目的开标、组建评标委员会、评标、复核、澄清、签章等交易流程依法依规进行流程引导，对专家评标具体业务操作不能干预与引导，对评标过程中相关业务性、技术性、导向性、结论性问题不能参与和判断。评标专家不得就招标文件条款解释、评标过程中问题分析、评标内容结果判断等问题要求见证人员予以回答，评标专家应对自身评审结果负责。</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第十二章  异议、投诉和举报</w:t>
      </w:r>
    </w:p>
    <w:p>
      <w:pPr>
        <w:spacing w:line="360" w:lineRule="auto"/>
        <w:ind w:firstLine="643" w:firstLineChars="200"/>
        <w:rPr>
          <w:rFonts w:ascii="仿宋" w:hAnsi="仿宋" w:eastAsia="仿宋"/>
          <w:sz w:val="32"/>
          <w:szCs w:val="32"/>
          <w:highlight w:val="yellow"/>
        </w:rPr>
      </w:pPr>
      <w:r>
        <w:rPr>
          <w:rFonts w:hint="eastAsia" w:ascii="仿宋" w:hAnsi="仿宋" w:eastAsia="仿宋" w:cs="华文仿宋"/>
          <w:b/>
          <w:bCs/>
          <w:kern w:val="0"/>
          <w:sz w:val="32"/>
          <w:szCs w:val="32"/>
        </w:rPr>
        <w:t>第五十三条【异议投诉方式】</w:t>
      </w:r>
      <w:r>
        <w:rPr>
          <w:rFonts w:hint="eastAsia" w:ascii="仿宋" w:hAnsi="仿宋" w:eastAsia="仿宋" w:cs="华文仿宋"/>
          <w:kern w:val="0"/>
          <w:sz w:val="32"/>
          <w:szCs w:val="32"/>
        </w:rPr>
        <w:t>招标公告中需载明异议和投诉的受理方式、联系部门、联系电话等相关信息。</w:t>
      </w:r>
      <w:r>
        <w:rPr>
          <w:rFonts w:hint="eastAsia" w:ascii="仿宋" w:hAnsi="仿宋" w:eastAsia="仿宋"/>
          <w:sz w:val="32"/>
          <w:szCs w:val="32"/>
        </w:rPr>
        <w:t>相关投标人及</w:t>
      </w:r>
      <w:r>
        <w:rPr>
          <w:rFonts w:ascii="仿宋" w:hAnsi="仿宋" w:eastAsia="仿宋"/>
          <w:sz w:val="32"/>
          <w:szCs w:val="32"/>
        </w:rPr>
        <w:t>利害关系人</w:t>
      </w:r>
      <w:r>
        <w:rPr>
          <w:rFonts w:hint="eastAsia" w:ascii="仿宋" w:hAnsi="仿宋" w:eastAsia="仿宋"/>
          <w:sz w:val="32"/>
          <w:szCs w:val="32"/>
        </w:rPr>
        <w:t>采用数字证书登录交易服务平台-网上办事大厅中的“在线投诉质疑”模块，以</w:t>
      </w:r>
      <w:r>
        <w:rPr>
          <w:rFonts w:ascii="仿宋" w:hAnsi="仿宋" w:eastAsia="仿宋"/>
          <w:sz w:val="32"/>
          <w:szCs w:val="32"/>
        </w:rPr>
        <w:t>明确的</w:t>
      </w:r>
      <w:r>
        <w:rPr>
          <w:rFonts w:hint="eastAsia" w:ascii="仿宋" w:hAnsi="仿宋" w:eastAsia="仿宋"/>
          <w:sz w:val="32"/>
          <w:szCs w:val="32"/>
        </w:rPr>
        <w:t>事由并附</w:t>
      </w:r>
      <w:r>
        <w:rPr>
          <w:rFonts w:ascii="仿宋" w:hAnsi="仿宋" w:eastAsia="仿宋"/>
          <w:sz w:val="32"/>
          <w:szCs w:val="32"/>
        </w:rPr>
        <w:t>必要的证明材料</w:t>
      </w:r>
      <w:r>
        <w:rPr>
          <w:rFonts w:hint="eastAsia" w:ascii="仿宋" w:hAnsi="仿宋" w:eastAsia="仿宋"/>
          <w:sz w:val="32"/>
          <w:szCs w:val="32"/>
        </w:rPr>
        <w:t>线上提出异议投诉，并加盖电子公章。</w:t>
      </w:r>
    </w:p>
    <w:p>
      <w:pPr>
        <w:spacing w:line="360" w:lineRule="auto"/>
        <w:ind w:firstLine="643" w:firstLineChars="200"/>
        <w:rPr>
          <w:rFonts w:ascii="仿宋" w:hAnsi="仿宋" w:eastAsia="仿宋"/>
          <w:sz w:val="32"/>
          <w:szCs w:val="32"/>
        </w:rPr>
      </w:pPr>
      <w:r>
        <w:rPr>
          <w:rFonts w:hint="eastAsia" w:ascii="仿宋" w:hAnsi="仿宋" w:eastAsia="仿宋" w:cs="华文仿宋"/>
          <w:b/>
          <w:bCs/>
          <w:kern w:val="0"/>
          <w:sz w:val="32"/>
          <w:szCs w:val="32"/>
        </w:rPr>
        <w:t>第五十四条【异议投诉路径】</w:t>
      </w:r>
      <w:r>
        <w:rPr>
          <w:rFonts w:hint="eastAsia" w:ascii="仿宋" w:hAnsi="仿宋" w:eastAsia="仿宋"/>
          <w:sz w:val="32"/>
          <w:szCs w:val="32"/>
        </w:rPr>
        <w:t>交易服务平台与交易系统和行政监督平台进行实时数据推送，相关异议事项通过交易系统实时推送至招标代理机构进行处理，相关投诉事项通过行政监督平台实时推送至行政监督部门进行处理。交易中心应对发生异议投诉的项目交易现场情况提出技术性、业务性核查评估说明。</w:t>
      </w:r>
    </w:p>
    <w:p>
      <w:pPr>
        <w:spacing w:line="360" w:lineRule="auto"/>
        <w:ind w:firstLine="643" w:firstLineChars="200"/>
        <w:rPr>
          <w:rFonts w:ascii="仿宋" w:hAnsi="仿宋" w:eastAsia="仿宋"/>
          <w:szCs w:val="24"/>
        </w:rPr>
      </w:pPr>
      <w:r>
        <w:rPr>
          <w:rFonts w:hint="eastAsia" w:ascii="仿宋" w:hAnsi="仿宋" w:eastAsia="仿宋" w:cs="华文仿宋"/>
          <w:b/>
          <w:bCs/>
          <w:kern w:val="0"/>
          <w:sz w:val="32"/>
          <w:szCs w:val="32"/>
        </w:rPr>
        <w:t>第五十五条【举报】</w:t>
      </w:r>
      <w:r>
        <w:rPr>
          <w:rFonts w:hint="eastAsia" w:ascii="仿宋" w:hAnsi="仿宋" w:eastAsia="仿宋" w:cs="华文仿宋"/>
          <w:kern w:val="0"/>
          <w:sz w:val="32"/>
          <w:szCs w:val="32"/>
        </w:rPr>
        <w:t>任何单位和个人对公共资源交易活动中的违法行为，有权控告和举报，相关事项可以采用数字证书</w:t>
      </w:r>
      <w:r>
        <w:rPr>
          <w:rFonts w:hint="eastAsia" w:ascii="仿宋" w:hAnsi="仿宋" w:eastAsia="仿宋"/>
          <w:sz w:val="32"/>
          <w:szCs w:val="32"/>
        </w:rPr>
        <w:t>登录交易服务平台-网上办事大厅中的“在线举报”模块，向行政监督</w:t>
      </w:r>
      <w:r>
        <w:rPr>
          <w:rFonts w:hint="eastAsia" w:ascii="仿宋" w:hAnsi="仿宋" w:eastAsia="仿宋" w:cs="华文仿宋"/>
          <w:kern w:val="0"/>
          <w:sz w:val="32"/>
          <w:szCs w:val="32"/>
        </w:rPr>
        <w:t>部门、有权受理举报的单位提出。</w:t>
      </w:r>
    </w:p>
    <w:p>
      <w:pPr>
        <w:widowControl/>
        <w:autoSpaceDE w:val="0"/>
        <w:autoSpaceDN w:val="0"/>
        <w:ind w:firstLine="643" w:firstLineChars="200"/>
        <w:rPr>
          <w:rFonts w:ascii="仿宋" w:hAnsi="仿宋" w:eastAsia="仿宋"/>
          <w:kern w:val="0"/>
          <w:szCs w:val="20"/>
        </w:rPr>
      </w:pPr>
      <w:r>
        <w:rPr>
          <w:rFonts w:hint="eastAsia" w:ascii="仿宋" w:hAnsi="仿宋" w:eastAsia="仿宋" w:cs="华文仿宋"/>
          <w:b/>
          <w:bCs/>
          <w:kern w:val="0"/>
          <w:sz w:val="32"/>
          <w:szCs w:val="32"/>
        </w:rPr>
        <w:t>第五十六条【举报路径】</w:t>
      </w:r>
      <w:r>
        <w:rPr>
          <w:rFonts w:hint="eastAsia" w:ascii="仿宋" w:hAnsi="仿宋" w:eastAsia="仿宋"/>
          <w:kern w:val="0"/>
          <w:sz w:val="32"/>
          <w:szCs w:val="32"/>
        </w:rPr>
        <w:t>交易服务平台与交易系统和行政监督平台进行实时数据推送，相关举报事项通过行政监督平台实时推送至行政监督</w:t>
      </w:r>
      <w:r>
        <w:rPr>
          <w:rFonts w:hint="eastAsia" w:ascii="仿宋" w:hAnsi="仿宋" w:eastAsia="仿宋" w:cs="华文仿宋"/>
          <w:kern w:val="0"/>
          <w:sz w:val="32"/>
          <w:szCs w:val="32"/>
        </w:rPr>
        <w:t>部门、有权受理举报的单位</w:t>
      </w:r>
      <w:r>
        <w:rPr>
          <w:rFonts w:hint="eastAsia" w:ascii="仿宋" w:hAnsi="仿宋" w:eastAsia="仿宋"/>
          <w:kern w:val="0"/>
          <w:sz w:val="32"/>
          <w:szCs w:val="32"/>
        </w:rPr>
        <w:t>进行处理。交易中心应对发生举报的项目交易现场情况提出技术性、业务性核查评估说明。</w:t>
      </w:r>
    </w:p>
    <w:p>
      <w:pPr>
        <w:widowControl/>
        <w:autoSpaceDE w:val="0"/>
        <w:autoSpaceDN w:val="0"/>
        <w:ind w:firstLine="640" w:firstLineChars="200"/>
        <w:rPr>
          <w:rFonts w:ascii="仿宋" w:hAnsi="仿宋" w:eastAsia="仿宋"/>
          <w:color w:val="FF0000"/>
          <w:kern w:val="0"/>
          <w:szCs w:val="20"/>
        </w:rPr>
      </w:pPr>
      <w:r>
        <w:rPr>
          <w:rFonts w:hint="eastAsia" w:ascii="仿宋" w:hAnsi="仿宋" w:eastAsia="仿宋"/>
          <w:kern w:val="0"/>
          <w:sz w:val="32"/>
          <w:szCs w:val="32"/>
        </w:rPr>
        <w:t>交易服务平台自动记录时间节点、处理信息、意见结果等，全程留痕、处理溯源，交易各方均能实时查看，招标代理机构或行政监督部门相关工作人员应采用数字证书登录方式处理相关事宜，最终须出具明确的处理意见并点击确认后方视为该宗异议、投诉、举报全部处理完毕，相关意见结果自动流转反馈至异议、投诉、举报提出方。交易服务平台和行政监督平台均即时显示相关异议、投诉、举报的办理状态和结果信息，形成线上异议、投诉、举报闭环管理流程。若是线下处理，相关材料也应上传至交易服务平台或相关系统。</w:t>
      </w:r>
      <w:r>
        <w:rPr>
          <w:rFonts w:hint="eastAsia" w:ascii="仿宋" w:hAnsi="仿宋" w:eastAsia="仿宋"/>
          <w:color w:val="FF0000"/>
          <w:kern w:val="0"/>
          <w:sz w:val="32"/>
          <w:szCs w:val="32"/>
        </w:rPr>
        <w:t xml:space="preserve"> </w:t>
      </w:r>
    </w:p>
    <w:p>
      <w:pPr>
        <w:spacing w:line="360" w:lineRule="auto"/>
        <w:jc w:val="center"/>
        <w:rPr>
          <w:rFonts w:eastAsia="黑体"/>
          <w:szCs w:val="24"/>
        </w:rPr>
      </w:pPr>
      <w:r>
        <w:rPr>
          <w:rFonts w:hint="eastAsia" w:ascii="黑体" w:hAnsi="黑体" w:eastAsia="黑体" w:cs="黑体"/>
          <w:sz w:val="32"/>
          <w:szCs w:val="32"/>
        </w:rPr>
        <w:t>第十三章  其它</w:t>
      </w:r>
    </w:p>
    <w:p>
      <w:pPr>
        <w:spacing w:line="360" w:lineRule="auto"/>
        <w:jc w:val="left"/>
        <w:rPr>
          <w:rFonts w:ascii="仿宋" w:hAnsi="仿宋" w:eastAsia="仿宋"/>
          <w:szCs w:val="24"/>
        </w:rPr>
      </w:pPr>
      <w:r>
        <w:rPr>
          <w:rFonts w:hint="eastAsia" w:eastAsia="黑体"/>
          <w:szCs w:val="24"/>
        </w:rPr>
        <w:t xml:space="preserve">     </w:t>
      </w:r>
      <w:r>
        <w:rPr>
          <w:rFonts w:hint="eastAsia" w:ascii="仿宋" w:hAnsi="仿宋" w:eastAsia="仿宋" w:cs="华文仿宋"/>
          <w:b/>
          <w:bCs/>
          <w:kern w:val="0"/>
          <w:sz w:val="32"/>
          <w:szCs w:val="32"/>
        </w:rPr>
        <w:t>第五十七条【投标保证金退还】</w:t>
      </w:r>
      <w:r>
        <w:rPr>
          <w:rFonts w:hint="eastAsia" w:ascii="仿宋" w:hAnsi="仿宋" w:eastAsia="仿宋"/>
          <w:sz w:val="32"/>
          <w:szCs w:val="32"/>
        </w:rPr>
        <w:t>未中标单位投标保证金（现金）由招标代理机构在中标通知书发出之日起5个工作日内在交易系统“保证金退款”模块点击“新增退款申请”按键发起退还，中标单位投标保证金（现金）应在中标人签订合同后5个工作日内退还，保函等投标担保在投标有效期到期之日起自动失效。交易系统应设置投标有效期到期之日自动退还投标保证金（现金）功能，因特殊情况投标单位保证金需暂停退还或不予退还的，招标代理机构需按照要求在交易系统“保证金退款”模块点击“暂停退还”按键前上传加盖公章的情况说明文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firstLineChars="200"/>
        <w:jc w:val="left"/>
        <w:rPr>
          <w:rFonts w:ascii="仿宋" w:hAnsi="仿宋" w:eastAsia="仿宋"/>
          <w:color w:val="C00000"/>
          <w:sz w:val="32"/>
          <w:szCs w:val="32"/>
          <w:u w:val="single"/>
        </w:rPr>
      </w:pPr>
      <w:r>
        <w:rPr>
          <w:rFonts w:hint="eastAsia" w:ascii="仿宋" w:hAnsi="仿宋" w:eastAsia="仿宋" w:cs="华文仿宋"/>
          <w:b/>
          <w:bCs/>
          <w:kern w:val="0"/>
          <w:sz w:val="32"/>
          <w:szCs w:val="32"/>
        </w:rPr>
        <w:t>第五十八条【专家费支付】</w:t>
      </w:r>
      <w:r>
        <w:rPr>
          <w:rFonts w:hint="eastAsia" w:ascii="仿宋" w:hAnsi="仿宋" w:eastAsia="仿宋"/>
          <w:sz w:val="32"/>
          <w:szCs w:val="32"/>
        </w:rPr>
        <w:t>交易中心应当实行专家评审费线上支付管理，评标前招标代理机构需在专家费支付系统中招标代理的专属虚拟账号上预存交易项目专家评审费，评审结束后，交易系统推送项目、标段及评标时长信息至专家费支付系统，专家费支付系统按照评审费支付标准根据评标时长自动计算评审费，生成评审费支付清单，经招标代理机构确认后，推送至银行系统完成支付，评标专家通过专家费支付系统进行提现。</w:t>
      </w:r>
    </w:p>
    <w:p>
      <w:pPr>
        <w:spacing w:line="360" w:lineRule="auto"/>
        <w:ind w:firstLine="643" w:firstLineChars="200"/>
        <w:rPr>
          <w:rFonts w:ascii="仿宋" w:hAnsi="仿宋" w:eastAsia="仿宋"/>
          <w:sz w:val="32"/>
          <w:szCs w:val="32"/>
        </w:rPr>
      </w:pPr>
      <w:r>
        <w:rPr>
          <w:rFonts w:hint="eastAsia" w:ascii="仿宋" w:hAnsi="仿宋" w:eastAsia="仿宋" w:cs="华文仿宋"/>
          <w:b/>
          <w:bCs/>
          <w:sz w:val="32"/>
          <w:szCs w:val="32"/>
        </w:rPr>
        <w:t>第五十九条【电子档案】</w:t>
      </w:r>
      <w:r>
        <w:rPr>
          <w:rFonts w:hint="eastAsia" w:ascii="仿宋" w:hAnsi="仿宋" w:eastAsia="仿宋" w:cs="华文仿宋"/>
          <w:sz w:val="32"/>
          <w:szCs w:val="32"/>
        </w:rPr>
        <w:t>交易中心负责电子档案和交易现场音视频资料整理归集形成全流程电子档案，并建立查阅、调阅制度，按照管理程序及时提供给招标代理机构、行政监督部门及相关司法部门。</w:t>
      </w:r>
      <w:r>
        <w:rPr>
          <w:rFonts w:hint="eastAsia" w:ascii="仿宋" w:hAnsi="仿宋" w:eastAsia="仿宋"/>
          <w:sz w:val="32"/>
          <w:szCs w:val="32"/>
        </w:rPr>
        <w:t>存在异议投诉未处理完毕的项目系统将无法完成该项目的电子档案归集。</w:t>
      </w:r>
    </w:p>
    <w:p>
      <w:pPr>
        <w:widowControl/>
        <w:shd w:val="clear" w:color="auto" w:fill="FFFFFF"/>
        <w:spacing w:line="360" w:lineRule="auto"/>
        <w:jc w:val="center"/>
        <w:rPr>
          <w:rFonts w:ascii="华文仿宋" w:hAnsi="华文仿宋" w:eastAsia="华文仿宋" w:cs="华文仿宋"/>
          <w:b/>
          <w:bCs/>
          <w:kern w:val="0"/>
          <w:sz w:val="32"/>
          <w:szCs w:val="32"/>
        </w:rPr>
      </w:pPr>
      <w:r>
        <w:rPr>
          <w:rFonts w:hint="eastAsia" w:ascii="黑体" w:hAnsi="黑体" w:eastAsia="黑体" w:cs="黑体"/>
          <w:bCs/>
          <w:kern w:val="0"/>
          <w:sz w:val="32"/>
          <w:szCs w:val="32"/>
        </w:rPr>
        <w:t>第十四章  附则</w:t>
      </w:r>
    </w:p>
    <w:p>
      <w:pPr>
        <w:widowControl/>
        <w:shd w:val="clear" w:color="auto" w:fill="FFFFFF"/>
        <w:spacing w:line="360" w:lineRule="auto"/>
        <w:ind w:firstLine="643" w:firstLineChars="200"/>
        <w:jc w:val="left"/>
        <w:rPr>
          <w:rFonts w:ascii="仿宋" w:hAnsi="仿宋" w:eastAsia="仿宋" w:cs="华文仿宋"/>
          <w:kern w:val="0"/>
          <w:sz w:val="32"/>
          <w:szCs w:val="32"/>
        </w:rPr>
      </w:pPr>
      <w:r>
        <w:rPr>
          <w:rFonts w:hint="eastAsia" w:ascii="仿宋" w:hAnsi="仿宋" w:eastAsia="仿宋" w:cs="华文仿宋"/>
          <w:b/>
          <w:bCs/>
          <w:kern w:val="0"/>
          <w:sz w:val="32"/>
          <w:szCs w:val="32"/>
        </w:rPr>
        <w:t xml:space="preserve">第六十条 </w:t>
      </w:r>
      <w:r>
        <w:rPr>
          <w:rFonts w:hint="eastAsia" w:ascii="仿宋" w:hAnsi="仿宋" w:eastAsia="仿宋" w:cs="华文仿宋"/>
          <w:kern w:val="0"/>
          <w:sz w:val="32"/>
          <w:szCs w:val="32"/>
        </w:rPr>
        <w:t>国家法律法规及政府相关部门对工程建设项目招标投标有特别规定的，从其规定。</w:t>
      </w:r>
    </w:p>
    <w:p>
      <w:pPr>
        <w:widowControl/>
        <w:shd w:val="clear" w:color="auto" w:fill="FFFFFF"/>
        <w:spacing w:line="360" w:lineRule="auto"/>
        <w:ind w:firstLine="643" w:firstLineChars="200"/>
        <w:jc w:val="left"/>
        <w:rPr>
          <w:rFonts w:ascii="仿宋" w:hAnsi="仿宋" w:eastAsia="仿宋"/>
          <w:szCs w:val="24"/>
        </w:rPr>
      </w:pPr>
      <w:r>
        <w:rPr>
          <w:rFonts w:hint="eastAsia" w:ascii="仿宋" w:hAnsi="仿宋" w:eastAsia="仿宋" w:cs="华文仿宋"/>
          <w:b/>
          <w:bCs/>
          <w:kern w:val="0"/>
          <w:sz w:val="32"/>
          <w:szCs w:val="32"/>
        </w:rPr>
        <w:t>第六十一条</w:t>
      </w:r>
      <w:r>
        <w:rPr>
          <w:rFonts w:hint="eastAsia" w:ascii="仿宋" w:hAnsi="仿宋" w:eastAsia="仿宋" w:cs="华文仿宋"/>
          <w:kern w:val="0"/>
          <w:sz w:val="32"/>
          <w:szCs w:val="32"/>
        </w:rPr>
        <w:t xml:space="preserve"> 本运行导则自印发之日起试行。</w:t>
      </w:r>
    </w:p>
    <w:p>
      <w:pPr>
        <w:spacing w:line="720" w:lineRule="exact"/>
        <w:jc w:val="left"/>
        <w:rPr>
          <w:rFonts w:ascii="仿宋" w:hAnsi="仿宋" w:eastAsia="仿宋"/>
          <w:color w:val="000000"/>
          <w:w w:val="95"/>
          <w:sz w:val="32"/>
          <w:szCs w:val="32"/>
        </w:rPr>
      </w:pPr>
    </w:p>
    <w:p>
      <w:pPr>
        <w:spacing w:line="720" w:lineRule="exact"/>
        <w:jc w:val="left"/>
        <w:rPr>
          <w:rFonts w:ascii="黑体" w:hAnsi="黑体" w:eastAsia="黑体"/>
          <w:color w:val="000000"/>
          <w:w w:val="95"/>
          <w:sz w:val="32"/>
          <w:szCs w:val="32"/>
        </w:rPr>
      </w:pPr>
    </w:p>
    <w:p>
      <w:pPr>
        <w:spacing w:line="720" w:lineRule="exact"/>
        <w:jc w:val="left"/>
        <w:rPr>
          <w:rFonts w:ascii="黑体" w:hAnsi="黑体" w:eastAsia="黑体"/>
          <w:color w:val="000000"/>
          <w:w w:val="95"/>
          <w:sz w:val="32"/>
          <w:szCs w:val="32"/>
        </w:rPr>
      </w:pPr>
    </w:p>
    <w:p>
      <w:pPr>
        <w:spacing w:line="720" w:lineRule="exact"/>
        <w:jc w:val="left"/>
        <w:rPr>
          <w:rFonts w:ascii="黑体" w:hAnsi="黑体" w:eastAsia="黑体"/>
          <w:color w:val="000000"/>
          <w:w w:val="95"/>
          <w:sz w:val="32"/>
          <w:szCs w:val="32"/>
        </w:rPr>
      </w:pPr>
    </w:p>
    <w:p>
      <w:pPr>
        <w:spacing w:line="720" w:lineRule="exact"/>
        <w:jc w:val="left"/>
        <w:rPr>
          <w:rFonts w:ascii="黑体" w:hAnsi="黑体" w:eastAsia="黑体"/>
          <w:color w:val="000000"/>
          <w:w w:val="95"/>
          <w:sz w:val="32"/>
          <w:szCs w:val="32"/>
        </w:rPr>
      </w:pPr>
    </w:p>
    <w:p>
      <w:pPr>
        <w:spacing w:line="720" w:lineRule="exact"/>
        <w:jc w:val="left"/>
        <w:rPr>
          <w:rFonts w:ascii="黑体" w:hAnsi="黑体" w:eastAsia="黑体"/>
          <w:color w:val="000000"/>
          <w:w w:val="95"/>
          <w:sz w:val="32"/>
          <w:szCs w:val="32"/>
        </w:rPr>
      </w:pPr>
    </w:p>
    <w:p>
      <w:pPr>
        <w:spacing w:line="720" w:lineRule="exact"/>
        <w:jc w:val="left"/>
        <w:rPr>
          <w:rFonts w:ascii="黑体" w:hAnsi="黑体" w:eastAsia="黑体"/>
          <w:color w:val="000000"/>
          <w:w w:val="95"/>
          <w:sz w:val="32"/>
          <w:szCs w:val="32"/>
        </w:rPr>
      </w:pPr>
    </w:p>
    <w:sectPr>
      <w:footerReference r:id="rId5" w:type="first"/>
      <w:footerReference r:id="rId3" w:type="default"/>
      <w:footerReference r:id="rId4" w:type="even"/>
      <w:pgSz w:w="11906" w:h="16838"/>
      <w:pgMar w:top="1418" w:right="1588" w:bottom="1247"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国标黑体">
    <w:altName w:val="黑体"/>
    <w:panose1 w:val="000000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705191"/>
      <w:docPartObj>
        <w:docPartGallery w:val="AutoText"/>
      </w:docPartObj>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965277"/>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422839"/>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CEB96F"/>
    <w:multiLevelType w:val="singleLevel"/>
    <w:tmpl w:val="BBCEB96F"/>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6D"/>
    <w:rsid w:val="00002BCD"/>
    <w:rsid w:val="00010776"/>
    <w:rsid w:val="00010BDE"/>
    <w:rsid w:val="000115B4"/>
    <w:rsid w:val="00013F27"/>
    <w:rsid w:val="0002340A"/>
    <w:rsid w:val="000318E1"/>
    <w:rsid w:val="00032531"/>
    <w:rsid w:val="0003628A"/>
    <w:rsid w:val="00052F2F"/>
    <w:rsid w:val="00053DE5"/>
    <w:rsid w:val="00062689"/>
    <w:rsid w:val="000818B6"/>
    <w:rsid w:val="00082F0C"/>
    <w:rsid w:val="00097289"/>
    <w:rsid w:val="000B4BBA"/>
    <w:rsid w:val="000C0120"/>
    <w:rsid w:val="000C6887"/>
    <w:rsid w:val="000D180A"/>
    <w:rsid w:val="000D369C"/>
    <w:rsid w:val="000E27D4"/>
    <w:rsid w:val="000E5285"/>
    <w:rsid w:val="000F2CEF"/>
    <w:rsid w:val="001001D1"/>
    <w:rsid w:val="00100F4E"/>
    <w:rsid w:val="00105030"/>
    <w:rsid w:val="0011174A"/>
    <w:rsid w:val="00115FA5"/>
    <w:rsid w:val="001173AB"/>
    <w:rsid w:val="00123443"/>
    <w:rsid w:val="00131093"/>
    <w:rsid w:val="001311E6"/>
    <w:rsid w:val="001346F2"/>
    <w:rsid w:val="00141373"/>
    <w:rsid w:val="001425E6"/>
    <w:rsid w:val="001426C6"/>
    <w:rsid w:val="00152FB3"/>
    <w:rsid w:val="0015716E"/>
    <w:rsid w:val="001601B0"/>
    <w:rsid w:val="001609A8"/>
    <w:rsid w:val="001656CD"/>
    <w:rsid w:val="001769D1"/>
    <w:rsid w:val="001813A0"/>
    <w:rsid w:val="0018640B"/>
    <w:rsid w:val="00187627"/>
    <w:rsid w:val="00190E2C"/>
    <w:rsid w:val="00197BDB"/>
    <w:rsid w:val="001B241B"/>
    <w:rsid w:val="001B4151"/>
    <w:rsid w:val="001B43CE"/>
    <w:rsid w:val="001C2DCB"/>
    <w:rsid w:val="001E2763"/>
    <w:rsid w:val="001F2480"/>
    <w:rsid w:val="001F2BAF"/>
    <w:rsid w:val="001F3716"/>
    <w:rsid w:val="0020048F"/>
    <w:rsid w:val="00215358"/>
    <w:rsid w:val="00217324"/>
    <w:rsid w:val="0021790A"/>
    <w:rsid w:val="00220413"/>
    <w:rsid w:val="00223900"/>
    <w:rsid w:val="00250E6D"/>
    <w:rsid w:val="00260B12"/>
    <w:rsid w:val="0026192C"/>
    <w:rsid w:val="00261BA1"/>
    <w:rsid w:val="00262B9F"/>
    <w:rsid w:val="00264035"/>
    <w:rsid w:val="00266C97"/>
    <w:rsid w:val="002704A3"/>
    <w:rsid w:val="00270582"/>
    <w:rsid w:val="002765B0"/>
    <w:rsid w:val="002869C8"/>
    <w:rsid w:val="00287E62"/>
    <w:rsid w:val="0029143A"/>
    <w:rsid w:val="002A2A60"/>
    <w:rsid w:val="002B689A"/>
    <w:rsid w:val="002F0159"/>
    <w:rsid w:val="00306978"/>
    <w:rsid w:val="00311A5D"/>
    <w:rsid w:val="0031490D"/>
    <w:rsid w:val="00325717"/>
    <w:rsid w:val="00327C90"/>
    <w:rsid w:val="00334805"/>
    <w:rsid w:val="00337E01"/>
    <w:rsid w:val="003403D4"/>
    <w:rsid w:val="00344A6B"/>
    <w:rsid w:val="00345D03"/>
    <w:rsid w:val="00346ACC"/>
    <w:rsid w:val="00347094"/>
    <w:rsid w:val="00351C7E"/>
    <w:rsid w:val="00356C40"/>
    <w:rsid w:val="003642A8"/>
    <w:rsid w:val="00390058"/>
    <w:rsid w:val="00391176"/>
    <w:rsid w:val="003947D7"/>
    <w:rsid w:val="00394E0C"/>
    <w:rsid w:val="003A0274"/>
    <w:rsid w:val="003B0969"/>
    <w:rsid w:val="003D4825"/>
    <w:rsid w:val="003E1909"/>
    <w:rsid w:val="003E7B38"/>
    <w:rsid w:val="003F13BD"/>
    <w:rsid w:val="003F6617"/>
    <w:rsid w:val="00412817"/>
    <w:rsid w:val="00414D85"/>
    <w:rsid w:val="004267DA"/>
    <w:rsid w:val="004278C6"/>
    <w:rsid w:val="00427F3B"/>
    <w:rsid w:val="00431977"/>
    <w:rsid w:val="00431FB3"/>
    <w:rsid w:val="004343DA"/>
    <w:rsid w:val="00450482"/>
    <w:rsid w:val="00473025"/>
    <w:rsid w:val="00476469"/>
    <w:rsid w:val="00480516"/>
    <w:rsid w:val="0049378D"/>
    <w:rsid w:val="004A2A54"/>
    <w:rsid w:val="004B67F0"/>
    <w:rsid w:val="004C2A26"/>
    <w:rsid w:val="004C4013"/>
    <w:rsid w:val="004D42F4"/>
    <w:rsid w:val="004D519F"/>
    <w:rsid w:val="004D700B"/>
    <w:rsid w:val="004E30C4"/>
    <w:rsid w:val="004E3CFF"/>
    <w:rsid w:val="004E77F3"/>
    <w:rsid w:val="004F1EA7"/>
    <w:rsid w:val="004F2110"/>
    <w:rsid w:val="004F494B"/>
    <w:rsid w:val="004F5885"/>
    <w:rsid w:val="004F5BFA"/>
    <w:rsid w:val="004F6995"/>
    <w:rsid w:val="00512ABE"/>
    <w:rsid w:val="0051524E"/>
    <w:rsid w:val="00515B53"/>
    <w:rsid w:val="00520C16"/>
    <w:rsid w:val="005214AE"/>
    <w:rsid w:val="00521789"/>
    <w:rsid w:val="005312DA"/>
    <w:rsid w:val="0055303A"/>
    <w:rsid w:val="00555BC8"/>
    <w:rsid w:val="00557A09"/>
    <w:rsid w:val="00566CB5"/>
    <w:rsid w:val="005722DF"/>
    <w:rsid w:val="005728C4"/>
    <w:rsid w:val="00581165"/>
    <w:rsid w:val="00584577"/>
    <w:rsid w:val="00587736"/>
    <w:rsid w:val="00593AFE"/>
    <w:rsid w:val="005A19AB"/>
    <w:rsid w:val="005A4B88"/>
    <w:rsid w:val="005B4342"/>
    <w:rsid w:val="005D7A28"/>
    <w:rsid w:val="00606BB3"/>
    <w:rsid w:val="00616C03"/>
    <w:rsid w:val="00622E93"/>
    <w:rsid w:val="00623D55"/>
    <w:rsid w:val="00631C9E"/>
    <w:rsid w:val="0064773F"/>
    <w:rsid w:val="006503EE"/>
    <w:rsid w:val="0065403B"/>
    <w:rsid w:val="00657203"/>
    <w:rsid w:val="00662277"/>
    <w:rsid w:val="00687040"/>
    <w:rsid w:val="00692BC2"/>
    <w:rsid w:val="00694CAF"/>
    <w:rsid w:val="0069504E"/>
    <w:rsid w:val="00697A66"/>
    <w:rsid w:val="006B697F"/>
    <w:rsid w:val="006B74F8"/>
    <w:rsid w:val="006C404F"/>
    <w:rsid w:val="006E06A8"/>
    <w:rsid w:val="006E3099"/>
    <w:rsid w:val="006E35F5"/>
    <w:rsid w:val="00705556"/>
    <w:rsid w:val="00707BCA"/>
    <w:rsid w:val="0072100F"/>
    <w:rsid w:val="007328D2"/>
    <w:rsid w:val="00734853"/>
    <w:rsid w:val="00744E54"/>
    <w:rsid w:val="00750A8C"/>
    <w:rsid w:val="0075489D"/>
    <w:rsid w:val="00761178"/>
    <w:rsid w:val="00762A9D"/>
    <w:rsid w:val="00763604"/>
    <w:rsid w:val="0078323B"/>
    <w:rsid w:val="007859E4"/>
    <w:rsid w:val="007B2DA3"/>
    <w:rsid w:val="007B40F3"/>
    <w:rsid w:val="007B74CF"/>
    <w:rsid w:val="007C0074"/>
    <w:rsid w:val="007D3CD6"/>
    <w:rsid w:val="007D7FEB"/>
    <w:rsid w:val="007E0137"/>
    <w:rsid w:val="007E29EB"/>
    <w:rsid w:val="007E42A1"/>
    <w:rsid w:val="007E76F7"/>
    <w:rsid w:val="007F1EF5"/>
    <w:rsid w:val="0080679A"/>
    <w:rsid w:val="00807D27"/>
    <w:rsid w:val="0081722E"/>
    <w:rsid w:val="00817E56"/>
    <w:rsid w:val="00824E4F"/>
    <w:rsid w:val="00845974"/>
    <w:rsid w:val="00847263"/>
    <w:rsid w:val="00850878"/>
    <w:rsid w:val="00850D50"/>
    <w:rsid w:val="00865697"/>
    <w:rsid w:val="00873004"/>
    <w:rsid w:val="0087404E"/>
    <w:rsid w:val="00876EE3"/>
    <w:rsid w:val="0088411C"/>
    <w:rsid w:val="00885EF3"/>
    <w:rsid w:val="008904F0"/>
    <w:rsid w:val="00890E4F"/>
    <w:rsid w:val="0089608E"/>
    <w:rsid w:val="008C2032"/>
    <w:rsid w:val="008D2421"/>
    <w:rsid w:val="008D2DA1"/>
    <w:rsid w:val="008E48CE"/>
    <w:rsid w:val="008F1780"/>
    <w:rsid w:val="008F3122"/>
    <w:rsid w:val="008F5BBD"/>
    <w:rsid w:val="00906E9F"/>
    <w:rsid w:val="0090786B"/>
    <w:rsid w:val="0091496E"/>
    <w:rsid w:val="00922666"/>
    <w:rsid w:val="0092394C"/>
    <w:rsid w:val="0093265E"/>
    <w:rsid w:val="00943742"/>
    <w:rsid w:val="00943B68"/>
    <w:rsid w:val="00944712"/>
    <w:rsid w:val="0094588B"/>
    <w:rsid w:val="00957352"/>
    <w:rsid w:val="00990897"/>
    <w:rsid w:val="009936FF"/>
    <w:rsid w:val="009952F9"/>
    <w:rsid w:val="0099724D"/>
    <w:rsid w:val="009A0CE4"/>
    <w:rsid w:val="009B7552"/>
    <w:rsid w:val="009C045F"/>
    <w:rsid w:val="009C04CE"/>
    <w:rsid w:val="009D7874"/>
    <w:rsid w:val="009F248C"/>
    <w:rsid w:val="00A06D1D"/>
    <w:rsid w:val="00A159BD"/>
    <w:rsid w:val="00A24009"/>
    <w:rsid w:val="00A34E90"/>
    <w:rsid w:val="00A44519"/>
    <w:rsid w:val="00A453EC"/>
    <w:rsid w:val="00A57846"/>
    <w:rsid w:val="00A73A9E"/>
    <w:rsid w:val="00A77BF5"/>
    <w:rsid w:val="00A9471A"/>
    <w:rsid w:val="00AA2C92"/>
    <w:rsid w:val="00AA656E"/>
    <w:rsid w:val="00AB16D0"/>
    <w:rsid w:val="00AB5E0F"/>
    <w:rsid w:val="00AC10AB"/>
    <w:rsid w:val="00AC51A7"/>
    <w:rsid w:val="00AE791C"/>
    <w:rsid w:val="00AF2CBD"/>
    <w:rsid w:val="00AF30CC"/>
    <w:rsid w:val="00AF6854"/>
    <w:rsid w:val="00B130F3"/>
    <w:rsid w:val="00B2037D"/>
    <w:rsid w:val="00B24168"/>
    <w:rsid w:val="00B372D7"/>
    <w:rsid w:val="00B37DDE"/>
    <w:rsid w:val="00B47DA3"/>
    <w:rsid w:val="00B67E5E"/>
    <w:rsid w:val="00B73038"/>
    <w:rsid w:val="00B73A97"/>
    <w:rsid w:val="00B766E9"/>
    <w:rsid w:val="00B774AF"/>
    <w:rsid w:val="00B8429A"/>
    <w:rsid w:val="00BA2C8A"/>
    <w:rsid w:val="00BA2EB8"/>
    <w:rsid w:val="00BA4C02"/>
    <w:rsid w:val="00BB4227"/>
    <w:rsid w:val="00BB45BC"/>
    <w:rsid w:val="00BC0C35"/>
    <w:rsid w:val="00BC14E1"/>
    <w:rsid w:val="00BC2584"/>
    <w:rsid w:val="00BE2D9B"/>
    <w:rsid w:val="00BF72F2"/>
    <w:rsid w:val="00BF7550"/>
    <w:rsid w:val="00C03DA8"/>
    <w:rsid w:val="00C03F3E"/>
    <w:rsid w:val="00C149D6"/>
    <w:rsid w:val="00C2279D"/>
    <w:rsid w:val="00C23C2B"/>
    <w:rsid w:val="00C244DD"/>
    <w:rsid w:val="00C301EC"/>
    <w:rsid w:val="00C3274C"/>
    <w:rsid w:val="00C4673A"/>
    <w:rsid w:val="00C527C3"/>
    <w:rsid w:val="00C6330C"/>
    <w:rsid w:val="00C64E5C"/>
    <w:rsid w:val="00C6783D"/>
    <w:rsid w:val="00C733CE"/>
    <w:rsid w:val="00C82957"/>
    <w:rsid w:val="00C96FF6"/>
    <w:rsid w:val="00C97474"/>
    <w:rsid w:val="00CA239E"/>
    <w:rsid w:val="00CA2732"/>
    <w:rsid w:val="00CB569C"/>
    <w:rsid w:val="00CB62A0"/>
    <w:rsid w:val="00CD376F"/>
    <w:rsid w:val="00CF3592"/>
    <w:rsid w:val="00CF392F"/>
    <w:rsid w:val="00CF4478"/>
    <w:rsid w:val="00CF4DEA"/>
    <w:rsid w:val="00D005D0"/>
    <w:rsid w:val="00D03F15"/>
    <w:rsid w:val="00D05507"/>
    <w:rsid w:val="00D14377"/>
    <w:rsid w:val="00D1596C"/>
    <w:rsid w:val="00D22119"/>
    <w:rsid w:val="00D24471"/>
    <w:rsid w:val="00D277A7"/>
    <w:rsid w:val="00D5425D"/>
    <w:rsid w:val="00D54ADE"/>
    <w:rsid w:val="00D6202D"/>
    <w:rsid w:val="00D64691"/>
    <w:rsid w:val="00D6654C"/>
    <w:rsid w:val="00D66C40"/>
    <w:rsid w:val="00D67DCC"/>
    <w:rsid w:val="00D7427F"/>
    <w:rsid w:val="00D74A54"/>
    <w:rsid w:val="00D75370"/>
    <w:rsid w:val="00D7557E"/>
    <w:rsid w:val="00D8070D"/>
    <w:rsid w:val="00D8326E"/>
    <w:rsid w:val="00D84A0B"/>
    <w:rsid w:val="00D92855"/>
    <w:rsid w:val="00DA0A6C"/>
    <w:rsid w:val="00DA6861"/>
    <w:rsid w:val="00DC006E"/>
    <w:rsid w:val="00DC1D31"/>
    <w:rsid w:val="00DC44E8"/>
    <w:rsid w:val="00DC61CA"/>
    <w:rsid w:val="00DE080E"/>
    <w:rsid w:val="00DF5AA6"/>
    <w:rsid w:val="00E048D7"/>
    <w:rsid w:val="00E05BEC"/>
    <w:rsid w:val="00E20346"/>
    <w:rsid w:val="00E24E08"/>
    <w:rsid w:val="00E26D50"/>
    <w:rsid w:val="00E42AD4"/>
    <w:rsid w:val="00E616B8"/>
    <w:rsid w:val="00E707D3"/>
    <w:rsid w:val="00E74276"/>
    <w:rsid w:val="00E85B5C"/>
    <w:rsid w:val="00E91ADD"/>
    <w:rsid w:val="00E93B9D"/>
    <w:rsid w:val="00E95CE2"/>
    <w:rsid w:val="00E96F85"/>
    <w:rsid w:val="00EA377F"/>
    <w:rsid w:val="00EA4379"/>
    <w:rsid w:val="00EA49E5"/>
    <w:rsid w:val="00EA5136"/>
    <w:rsid w:val="00EB1E19"/>
    <w:rsid w:val="00EB239F"/>
    <w:rsid w:val="00EB441A"/>
    <w:rsid w:val="00EC0C12"/>
    <w:rsid w:val="00EC26C5"/>
    <w:rsid w:val="00EC321C"/>
    <w:rsid w:val="00ED2842"/>
    <w:rsid w:val="00EE47BA"/>
    <w:rsid w:val="00EF13DE"/>
    <w:rsid w:val="00EF1DBC"/>
    <w:rsid w:val="00EF6101"/>
    <w:rsid w:val="00F01B67"/>
    <w:rsid w:val="00F030DC"/>
    <w:rsid w:val="00F128FE"/>
    <w:rsid w:val="00F15F85"/>
    <w:rsid w:val="00F160B2"/>
    <w:rsid w:val="00F25B50"/>
    <w:rsid w:val="00F302ED"/>
    <w:rsid w:val="00F34FB4"/>
    <w:rsid w:val="00F42EBA"/>
    <w:rsid w:val="00F43AC2"/>
    <w:rsid w:val="00F466E5"/>
    <w:rsid w:val="00F54535"/>
    <w:rsid w:val="00F56F3A"/>
    <w:rsid w:val="00F71C54"/>
    <w:rsid w:val="00F8526A"/>
    <w:rsid w:val="00F85A38"/>
    <w:rsid w:val="00F93DAB"/>
    <w:rsid w:val="00FA5F6A"/>
    <w:rsid w:val="00FB6FF5"/>
    <w:rsid w:val="00FD7C29"/>
    <w:rsid w:val="00FE7791"/>
    <w:rsid w:val="00FF4B68"/>
    <w:rsid w:val="3EFE2737"/>
    <w:rsid w:val="412E09E5"/>
    <w:rsid w:val="62EB0B25"/>
    <w:rsid w:val="73398AEF"/>
    <w:rsid w:val="7FE05AE0"/>
    <w:rsid w:val="969FB1F5"/>
    <w:rsid w:val="97B71AF1"/>
    <w:rsid w:val="BAAF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rPr>
      <w:rFonts w:ascii="Arial" w:hAnsi="Arial"/>
      <w:sz w:val="24"/>
      <w:szCs w:val="24"/>
    </w:rPr>
  </w:style>
  <w:style w:type="paragraph" w:styleId="3">
    <w:name w:val="Body Text"/>
    <w:basedOn w:val="1"/>
    <w:link w:val="19"/>
    <w:unhideWhenUsed/>
    <w:qFormat/>
    <w:uiPriority w:val="0"/>
    <w:pPr>
      <w:spacing w:after="120"/>
    </w:pPr>
    <w:rPr>
      <w:szCs w:val="24"/>
    </w:r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rPr>
  </w:style>
  <w:style w:type="character" w:styleId="12">
    <w:name w:val="Hyperlink"/>
    <w:basedOn w:val="10"/>
    <w:unhideWhenUsed/>
    <w:qFormat/>
    <w:uiPriority w:val="0"/>
    <w:rPr>
      <w:color w:val="0563C1" w:themeColor="hyperlink"/>
      <w:u w:val="single"/>
      <w14:textFill>
        <w14:solidFill>
          <w14:schemeClr w14:val="hlink"/>
        </w14:solidFill>
      </w14:textFill>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脚 Char"/>
    <w:basedOn w:val="10"/>
    <w:link w:val="6"/>
    <w:qFormat/>
    <w:uiPriority w:val="99"/>
    <w:rPr>
      <w:rFonts w:ascii="Calibri" w:hAnsi="Calibri" w:eastAsia="宋体" w:cs="Times New Roman"/>
      <w:sz w:val="18"/>
      <w:szCs w:val="18"/>
    </w:rPr>
  </w:style>
  <w:style w:type="character" w:customStyle="1" w:styleId="16">
    <w:name w:val="HTML 预设格式 Char"/>
    <w:basedOn w:val="10"/>
    <w:link w:val="8"/>
    <w:qFormat/>
    <w:uiPriority w:val="0"/>
    <w:rPr>
      <w:rFonts w:ascii="宋体" w:hAnsi="宋体" w:eastAsia="宋体" w:cs="Times New Roman"/>
      <w:kern w:val="0"/>
      <w:sz w:val="24"/>
      <w:szCs w:val="24"/>
    </w:rPr>
  </w:style>
  <w:style w:type="character" w:customStyle="1" w:styleId="17">
    <w:name w:val="页眉 Char"/>
    <w:basedOn w:val="10"/>
    <w:link w:val="7"/>
    <w:qFormat/>
    <w:uiPriority w:val="99"/>
    <w:rPr>
      <w:rFonts w:ascii="Calibri" w:hAnsi="Calibri" w:eastAsia="宋体" w:cs="Times New Roman"/>
      <w:sz w:val="18"/>
      <w:szCs w:val="18"/>
    </w:rPr>
  </w:style>
  <w:style w:type="character" w:customStyle="1" w:styleId="18">
    <w:name w:val="批注框文本 Char"/>
    <w:basedOn w:val="10"/>
    <w:link w:val="5"/>
    <w:semiHidden/>
    <w:qFormat/>
    <w:uiPriority w:val="99"/>
    <w:rPr>
      <w:rFonts w:ascii="Calibri" w:hAnsi="Calibri" w:eastAsia="宋体" w:cs="Times New Roman"/>
      <w:sz w:val="18"/>
      <w:szCs w:val="18"/>
    </w:rPr>
  </w:style>
  <w:style w:type="character" w:customStyle="1" w:styleId="19">
    <w:name w:val="正文文本 Char"/>
    <w:basedOn w:val="10"/>
    <w:link w:val="3"/>
    <w:qFormat/>
    <w:uiPriority w:val="99"/>
    <w:rPr>
      <w:rFonts w:ascii="Calibri" w:hAnsi="Calibri" w:eastAsia="宋体" w:cs="Times New Roman"/>
      <w:szCs w:val="24"/>
    </w:rPr>
  </w:style>
  <w:style w:type="character" w:customStyle="1" w:styleId="20">
    <w:name w:val="日期 Char"/>
    <w:basedOn w:val="10"/>
    <w:link w:val="4"/>
    <w:semiHidden/>
    <w:qFormat/>
    <w:uiPriority w:val="99"/>
    <w:rPr>
      <w:rFonts w:ascii="Calibri" w:hAnsi="Calibri" w:eastAsia="宋体" w:cs="Times New Roman"/>
    </w:rPr>
  </w:style>
  <w:style w:type="character" w:customStyle="1" w:styleId="21">
    <w:name w:val="font31"/>
    <w:basedOn w:val="10"/>
    <w:qFormat/>
    <w:uiPriority w:val="0"/>
    <w:rPr>
      <w:rFonts w:hint="default" w:ascii="微软雅黑" w:hAnsi="微软雅黑" w:eastAsia="微软雅黑" w:cs="微软雅黑"/>
      <w:b/>
      <w:color w:val="000000"/>
      <w:sz w:val="24"/>
      <w:szCs w:val="24"/>
      <w:u w:val="none"/>
    </w:rPr>
  </w:style>
  <w:style w:type="character" w:customStyle="1" w:styleId="22">
    <w:name w:val="font71"/>
    <w:basedOn w:val="10"/>
    <w:qFormat/>
    <w:uiPriority w:val="0"/>
    <w:rPr>
      <w:rFonts w:hint="default" w:ascii="微软雅黑" w:hAnsi="微软雅黑" w:eastAsia="微软雅黑" w:cs="微软雅黑"/>
      <w:color w:val="000000"/>
      <w:sz w:val="20"/>
      <w:szCs w:val="20"/>
      <w:u w:val="none"/>
    </w:rPr>
  </w:style>
  <w:style w:type="character" w:customStyle="1" w:styleId="23">
    <w:name w:val="font11"/>
    <w:basedOn w:val="10"/>
    <w:qFormat/>
    <w:uiPriority w:val="0"/>
    <w:rPr>
      <w:rFonts w:ascii="仿宋" w:hAnsi="仿宋" w:eastAsia="仿宋" w:cs="仿宋"/>
      <w:color w:val="000000"/>
      <w:sz w:val="18"/>
      <w:szCs w:val="18"/>
      <w:u w:val="none"/>
    </w:rPr>
  </w:style>
  <w:style w:type="character" w:customStyle="1" w:styleId="24">
    <w:name w:val="font01"/>
    <w:basedOn w:val="10"/>
    <w:qFormat/>
    <w:uiPriority w:val="0"/>
    <w:rPr>
      <w:rFonts w:ascii="Adobe 仿宋 Std R" w:hAnsi="Adobe 仿宋 Std R" w:eastAsia="Adobe 仿宋 Std R" w:cs="Adobe 仿宋 Std R"/>
      <w:color w:val="000000"/>
      <w:sz w:val="18"/>
      <w:szCs w:val="18"/>
      <w:u w:val="none"/>
    </w:rPr>
  </w:style>
  <w:style w:type="paragraph" w:customStyle="1" w:styleId="25">
    <w:name w:val="列出段落1"/>
    <w:basedOn w:val="1"/>
    <w:qFormat/>
    <w:uiPriority w:val="34"/>
    <w:pPr>
      <w:ind w:firstLine="420" w:firstLineChars="200"/>
    </w:pPr>
    <w:rPr>
      <w:rFonts w:asciiTheme="minorHAnsi" w:hAnsiTheme="minorHAnsi" w:eastAsiaTheme="minorEastAsia" w:cstheme="minorBidi"/>
    </w:rPr>
  </w:style>
  <w:style w:type="table" w:customStyle="1" w:styleId="26">
    <w:name w:val="网格型1"/>
    <w:basedOn w:val="13"/>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7">
    <w:name w:val="List Paragraph"/>
    <w:basedOn w:val="1"/>
    <w:qFormat/>
    <w:uiPriority w:val="99"/>
    <w:pPr>
      <w:ind w:firstLine="420" w:firstLineChars="200"/>
    </w:pPr>
  </w:style>
  <w:style w:type="table" w:customStyle="1" w:styleId="28">
    <w:name w:val="网格型2"/>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mini-outputtext1"/>
    <w:basedOn w:val="10"/>
    <w:qFormat/>
    <w:uiPriority w:val="0"/>
  </w:style>
  <w:style w:type="table" w:customStyle="1" w:styleId="30">
    <w:name w:val="网格型3"/>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6815</Words>
  <Characters>38849</Characters>
  <Lines>323</Lines>
  <Paragraphs>91</Paragraphs>
  <TotalTime>18</TotalTime>
  <ScaleCrop>false</ScaleCrop>
  <LinksUpToDate>false</LinksUpToDate>
  <CharactersWithSpaces>45573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2023-10-23T08:09:00Z</dcterms:created>
  <dc:creator>张学健 </dc:creator>
  <cp:lastModifiedBy>WPS_1642466373</cp:lastModifiedBy>
  <cp:lastPrinted>2023-10-23T08:19:00Z</cp:lastPrinted>
  <dcterms:modified xsi:type="dcterms:W3CDTF">2023-10-23T08:38:28Z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