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rPr>
      </w:pPr>
      <w:bookmarkStart w:id="0" w:name="_GoBack"/>
      <w:bookmarkEnd w:id="0"/>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岳阳市公共资源交易中心</w:t>
      </w:r>
      <w:r>
        <w:rPr>
          <w:rFonts w:hint="eastAsia" w:ascii="方正小标宋简体" w:hAnsi="方正小标宋简体" w:eastAsia="方正小标宋简体" w:cs="方正小标宋简体"/>
          <w:sz w:val="44"/>
          <w:szCs w:val="44"/>
          <w:highlight w:val="none"/>
        </w:rPr>
        <w:t>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28</w:t>
      </w:r>
      <w:r>
        <w:rPr>
          <w:rFonts w:hint="default" w:ascii="Times New Roman" w:hAnsi="Times New Roman" w:eastAsia="楷体_GB2312" w:cs="Times New Roman"/>
          <w:sz w:val="32"/>
          <w:szCs w:val="32"/>
          <w:highlight w:val="none"/>
        </w:rPr>
        <w:t>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岳阳市公共资源交易中心</w:t>
      </w:r>
      <w:r>
        <w:rPr>
          <w:rFonts w:hint="eastAsia" w:ascii="方正小标宋简体" w:hAnsi="方正小标宋简体" w:eastAsia="方正小标宋简体" w:cs="方正小标宋简体"/>
          <w:sz w:val="44"/>
          <w:szCs w:val="44"/>
          <w:highlight w:val="none"/>
        </w:rPr>
        <w:t>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岳阳市公共资源交易中心</w:t>
      </w:r>
      <w:r>
        <w:rPr>
          <w:rFonts w:hint="default" w:ascii="Times New Roman" w:hAnsi="Times New Roman" w:eastAsia="黑体" w:cs="Times New Roman"/>
          <w:sz w:val="32"/>
          <w:szCs w:val="32"/>
          <w:highlight w:val="none"/>
        </w:rPr>
        <w:t>基本情况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960" w:firstLineChars="3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1、职能职责</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（1）负责市级公共资源交易平台及信息网络系统建设、运行、管理，</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（2）配合有关部门研究制定平台内交易活动的技术标准、交易流程、操作规程和现场管理制度。</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（3）依法受理各类公共资源交易申请，依法收集、储存、发布各类公共资源交易的相关信息。</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（4）负责全市公共资源交易保证金的收退，负责核实评审资料，办理交易确认书。</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（5）负责全市公共资源交易监管网的运行和维护，为行业监管、行政监察提供平台服务，及时报告交易活动中的违规、违纪行为。</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6）承担市委、市政府和公共资源交易管理委员会交办的其它工作。中心现在交易服务场所位于岳阳市岳阳大道狮子山路丘山大厦1-6楼，总面积3862平方米，拥有1个监督室，6个开标室、13个评标室、1个专家抽取室，1个专用评委候评室，1个评委用餐室，并配备了较为完备的监控系统。</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2、机构设置</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我中心设综合部、人事部、财务部、信息技术部、交易服务部、现场管理部、政府采购交易部、工程建设交易部、国有产权交易部、自然资源交易部10个内设机构。目前，中心共有编制52人，实有干部职工52人，退休人员9人。全部纳入2023年部门预算编制范围。</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960" w:firstLineChars="3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2023年度基本支出为961.98万元，其中：工资福利支出819.97万元，商品服务支出102.7万元，对个人和家庭的补助支出38.31万元，资本性支出1万元。</w:t>
      </w:r>
    </w:p>
    <w:p>
      <w:pPr>
        <w:pStyle w:val="8"/>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960" w:firstLineChars="3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2023年度项目支出为</w:t>
      </w:r>
      <w:r>
        <w:rPr>
          <w:rFonts w:hint="eastAsia" w:ascii="仿宋_GB2312" w:hAnsi="仿宋_GB2312" w:eastAsia="仿宋_GB2312" w:cs="仿宋_GB2312"/>
          <w:b w:val="0"/>
          <w:bCs w:val="0"/>
          <w:color w:val="FF0000"/>
          <w:kern w:val="0"/>
          <w:sz w:val="32"/>
          <w:szCs w:val="32"/>
          <w:lang w:val="en-US" w:eastAsia="zh-CN" w:bidi="ar-SA"/>
        </w:rPr>
        <w:t>1273.33</w:t>
      </w:r>
      <w:r>
        <w:rPr>
          <w:rFonts w:hint="eastAsia" w:ascii="Times New Roman" w:hAnsi="Times New Roman" w:eastAsia="仿宋_GB2312" w:cs="Times New Roman"/>
          <w:color w:val="000000"/>
          <w:kern w:val="0"/>
          <w:sz w:val="32"/>
          <w:szCs w:val="32"/>
          <w:highlight w:val="none"/>
          <w:lang w:val="en-US" w:eastAsia="zh-CN" w:bidi="ar-SA"/>
        </w:rPr>
        <w:t>万元，全部为纳入专户管理的非税收入拨款。其中：工资福利支出17万元，商品服务支出882.66万元，对个人和家庭的补助支出0.65万元，资本性支出373.02万元。</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无</w:t>
      </w:r>
    </w:p>
    <w:p>
      <w:pPr>
        <w:pStyle w:val="8"/>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 xml:space="preserve">    </w:t>
      </w:r>
      <w:r>
        <w:rPr>
          <w:rFonts w:hint="eastAsia" w:ascii="Times New Roman" w:hAnsi="Times New Roman" w:eastAsia="仿宋_GB2312" w:cs="Times New Roman"/>
          <w:color w:val="000000"/>
          <w:kern w:val="0"/>
          <w:sz w:val="32"/>
          <w:szCs w:val="32"/>
          <w:highlight w:val="none"/>
          <w:lang w:val="en-US" w:eastAsia="zh-CN" w:bidi="ar-SA"/>
        </w:rPr>
        <w:t>无</w:t>
      </w:r>
    </w:p>
    <w:p>
      <w:pPr>
        <w:pStyle w:val="8"/>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textAlignment w:val="center"/>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根据中心年初工作计划和重点工作，围绕市委、市政府的工作部署，积极履行职责，强化管理，较好的完成了年度工作目标，同时加强预算收支的管理，建立健全内部管理制度，严格内部管理流程，部门整体管理得到了提升。2023年度部门整体支出绩效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center"/>
        <w:rPr>
          <w:rFonts w:hint="eastAsia"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1、严格预算支出管理。在支出预算编制上，人员经费按照配置定额，逐人核定编制，公用经费分类分档，按定额编制；根据“总量控制、计划管理”的要求严格控制行政经费，压缩公务费开支，严格控制“三公经费”，资产的配置严格实行政府采购，按照预算科目和项目资金的规定使用财政资金，保障我委整体支出的规范化和制度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center"/>
        <w:rPr>
          <w:rFonts w:hint="eastAsia"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2、财务管理上，按照国家相关法律法规，</w:t>
      </w:r>
      <w:r>
        <w:rPr>
          <w:rFonts w:hint="eastAsia" w:ascii="Times New Roman" w:hAnsi="Times New Roman" w:eastAsia="仿宋_GB2312" w:cs="Times New Roman"/>
          <w:color w:val="000000"/>
          <w:kern w:val="0"/>
          <w:sz w:val="32"/>
          <w:szCs w:val="32"/>
          <w:highlight w:val="none"/>
          <w:lang w:val="en-US" w:eastAsia="zh-CN" w:bidi="ar-SA"/>
        </w:rPr>
        <w:t>先后三次修订了《岳阳市公共资源交易中心财务管理制度》，制定了《岳阳市公共资源交易中心交易服务费减免退内部工作流程》《岳阳市公共资源交易中心关于交易服务费收费流程的通知》《岳阳市公共资源交易中心关于调整采购内控管理制度通知》《岳阳市公共资源交易中心工作人员参与项目评标内部管理制度》等，确保财政活动在严格的规章制度框架内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center"/>
        <w:rPr>
          <w:rFonts w:hint="eastAsia"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3、本年度预算配置控制较好，财政供养人员控制在预算编制内，三公经费支出总额较上年有减少，分析原因主要是：我委根据中央和省市有关厉行节约文件精神，严控各项支出，严格落实公务用车管理制度规定，公务接待坚持经费控制、节约简朴原则，最大限度控制和压缩“三公”经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center"/>
        <w:rPr>
          <w:rFonts w:hint="eastAsia"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4、 预算执行方面，支出总额控制在预算总额以内，基本支出中，财政政策性工资有所追加，本年部门预算未进行相关调整，并按规定管理使用，较好的完成了当年的任务目标，财政拨款支出总体控制较好。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center"/>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5、</w:t>
      </w:r>
      <w:r>
        <w:rPr>
          <w:rFonts w:hint="eastAsia" w:ascii="Times New Roman" w:hAnsi="Times New Roman" w:eastAsia="仿宋_GB2312" w:cs="Times New Roman"/>
          <w:color w:val="000000"/>
          <w:kern w:val="0"/>
          <w:sz w:val="32"/>
          <w:szCs w:val="32"/>
          <w:highlight w:val="none"/>
          <w:lang w:val="en-US" w:eastAsia="zh-CN" w:bidi="ar-SA"/>
        </w:rPr>
        <w:t>保障了财政资金的应收尽收，将投保保证金、交易服务费作为中心重点工作来抓，对国土资源类投标保证金利息全额缴至市财政专户，自2016年以来，严格按照《湖南省非税收入管理条例》要求，确保交易服务费执收任务应收尽收，已经累计收取交易服务费5.5亿元，收费金额位列全省第二。</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pStyle w:val="3"/>
        <w:keepNext w:val="0"/>
        <w:keepLines w:val="0"/>
        <w:widowControl/>
        <w:suppressLineNumbers w:val="0"/>
        <w:spacing w:before="0" w:beforeAutospacing="0" w:after="0" w:afterAutospacing="0" w:line="26" w:lineRule="atLeast"/>
        <w:ind w:firstLine="960" w:firstLineChars="300"/>
        <w:textAlignment w:val="top"/>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岗位职责模糊，使得绩效指标设定缺乏针对性，难以准确反映不同岗位的实际贡献。绩效考核指标单一或缺乏科学性，考核不能全面反映</w:t>
      </w:r>
      <w:r>
        <w:rPr>
          <w:rFonts w:hint="eastAsia" w:ascii="Times New Roman" w:hAnsi="Times New Roman" w:eastAsia="仿宋_GB2312" w:cs="Times New Roman"/>
          <w:color w:val="000000"/>
          <w:kern w:val="0"/>
          <w:sz w:val="32"/>
          <w:szCs w:val="32"/>
          <w:highlight w:val="none"/>
          <w:lang w:val="en-US" w:eastAsia="zh-CN" w:bidi="ar-SA"/>
        </w:rPr>
        <w:t>实际情况</w:t>
      </w:r>
      <w:r>
        <w:rPr>
          <w:rFonts w:hint="default" w:ascii="Times New Roman" w:hAnsi="Times New Roman" w:eastAsia="仿宋_GB2312" w:cs="Times New Roman"/>
          <w:color w:val="000000"/>
          <w:kern w:val="0"/>
          <w:sz w:val="32"/>
          <w:szCs w:val="32"/>
          <w:highlight w:val="none"/>
          <w:lang w:val="en-US" w:eastAsia="zh-CN" w:bidi="ar-SA"/>
        </w:rPr>
        <w:t>。考核过程形式化</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缺乏有效监督</w:t>
      </w:r>
      <w:r>
        <w:rPr>
          <w:rFonts w:hint="eastAsia" w:ascii="Times New Roman" w:hAnsi="Times New Roman" w:eastAsia="仿宋_GB2312" w:cs="Times New Roman"/>
          <w:color w:val="000000"/>
          <w:kern w:val="0"/>
          <w:sz w:val="32"/>
          <w:szCs w:val="32"/>
          <w:highlight w:val="none"/>
          <w:lang w:val="en-US" w:eastAsia="zh-CN" w:bidi="ar-SA"/>
        </w:rPr>
        <w:t>。</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加强监管，做到监管机制环环相扣，不出现断层；单位预算是财政总预算的基础，它是党和国家方针政策和社会发展战略在部门单位预算中的体现，是单位正常开展业务活动的重要经济保证。因此，为保证预算编制的质量，在编制预算中，本单位遵循下列原则：合法性原则、完整性原则、真实性原则、稳妥性原则、合作性原则、绩效性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default" w:ascii="Times New Roman" w:hAnsi="Times New Roman" w:eastAsia="黑体" w:cs="Times New Roman"/>
          <w:sz w:val="32"/>
          <w:szCs w:val="32"/>
          <w:highlight w:val="none"/>
        </w:rPr>
      </w:pPr>
      <w:r>
        <w:rPr>
          <w:rFonts w:hint="eastAsia" w:ascii="Times New Roman" w:hAnsi="Times New Roman" w:eastAsia="仿宋_GB2312" w:cs="Times New Roman"/>
          <w:kern w:val="0"/>
          <w:sz w:val="32"/>
          <w:szCs w:val="32"/>
          <w:highlight w:val="none"/>
          <w:lang w:val="en-US" w:eastAsia="zh-CN" w:bidi="ar-SA"/>
        </w:rPr>
        <w:t>　　建立健全财政绩效评价指标体系，加强工作人员的业务培训和财政绩效管理信息化建设，加大绩效评价结果的运用。</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绩效自评结果已在各项工作中运用且在政府门户网站及中心网站公示。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12F66"/>
    <w:multiLevelType w:val="singleLevel"/>
    <w:tmpl w:val="83F12F66"/>
    <w:lvl w:ilvl="0" w:tentative="0">
      <w:start w:val="2"/>
      <w:numFmt w:val="chineseCounting"/>
      <w:suff w:val="nothing"/>
      <w:lvlText w:val="（%1）"/>
      <w:lvlJc w:val="left"/>
      <w:rPr>
        <w:rFonts w:hint="eastAsia"/>
      </w:rPr>
    </w:lvl>
  </w:abstractNum>
  <w:abstractNum w:abstractNumId="1">
    <w:nsid w:val="87CA5760"/>
    <w:multiLevelType w:val="singleLevel"/>
    <w:tmpl w:val="87CA5760"/>
    <w:lvl w:ilvl="0" w:tentative="0">
      <w:start w:val="4"/>
      <w:numFmt w:val="chineseCounting"/>
      <w:suff w:val="nothing"/>
      <w:lvlText w:val="%1、"/>
      <w:lvlJc w:val="left"/>
      <w:rPr>
        <w:rFonts w:hint="eastAsia"/>
      </w:rPr>
    </w:lvl>
  </w:abstractNum>
  <w:abstractNum w:abstractNumId="2">
    <w:nsid w:val="B6F68002"/>
    <w:multiLevelType w:val="singleLevel"/>
    <w:tmpl w:val="B6F68002"/>
    <w:lvl w:ilvl="0" w:tentative="0">
      <w:start w:val="8"/>
      <w:numFmt w:val="chineseCounting"/>
      <w:suff w:val="nothing"/>
      <w:lvlText w:val="%1、"/>
      <w:lvlJc w:val="left"/>
      <w:rPr>
        <w:rFonts w:hint="eastAsia"/>
      </w:rPr>
    </w:lvl>
  </w:abstractNum>
  <w:abstractNum w:abstractNumId="3">
    <w:nsid w:val="FFD26024"/>
    <w:multiLevelType w:val="singleLevel"/>
    <w:tmpl w:val="FFD26024"/>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M2UwNzk5ODY1YmQwODNmNzkyZDM5ZGZmNTY4MjkifQ=="/>
    <w:docVar w:name="KSO_WPS_MARK_KEY" w:val="08fe807e-24e0-43a5-ad7b-9da9235b8c0b"/>
  </w:docVars>
  <w:rsids>
    <w:rsidRoot w:val="59886344"/>
    <w:rsid w:val="035118CC"/>
    <w:rsid w:val="04842AA6"/>
    <w:rsid w:val="04AB0032"/>
    <w:rsid w:val="182201B4"/>
    <w:rsid w:val="1E407F15"/>
    <w:rsid w:val="27124FEE"/>
    <w:rsid w:val="2D04536F"/>
    <w:rsid w:val="321B5F48"/>
    <w:rsid w:val="3DB159B2"/>
    <w:rsid w:val="3F5E5C64"/>
    <w:rsid w:val="42E24862"/>
    <w:rsid w:val="466C28D3"/>
    <w:rsid w:val="4CA706AC"/>
    <w:rsid w:val="4D265DFF"/>
    <w:rsid w:val="56ED7603"/>
    <w:rsid w:val="57974FF2"/>
    <w:rsid w:val="57A73DD3"/>
    <w:rsid w:val="59886344"/>
    <w:rsid w:val="5B433C96"/>
    <w:rsid w:val="617947DA"/>
    <w:rsid w:val="74EB4D2A"/>
    <w:rsid w:val="7F531E4A"/>
    <w:rsid w:val="7F992336"/>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 w:type="character" w:customStyle="1" w:styleId="9">
    <w:name w:val="font21"/>
    <w:basedOn w:val="5"/>
    <w:qFormat/>
    <w:uiPriority w:val="0"/>
    <w:rPr>
      <w:rFonts w:hint="default" w:ascii="仿宋_GB2312" w:eastAsia="仿宋_GB2312" w:cs="仿宋_GB2312"/>
      <w:color w:val="000000"/>
      <w:sz w:val="24"/>
      <w:szCs w:val="24"/>
      <w:u w:val="none"/>
    </w:rPr>
  </w:style>
  <w:style w:type="character" w:customStyle="1" w:styleId="10">
    <w:name w:val="font01"/>
    <w:basedOn w:val="5"/>
    <w:qFormat/>
    <w:uiPriority w:val="0"/>
    <w:rPr>
      <w:rFonts w:ascii="Calibri" w:hAnsi="Calibri" w:cs="Calibri"/>
      <w:color w:val="000000"/>
      <w:sz w:val="24"/>
      <w:szCs w:val="24"/>
      <w:u w:val="none"/>
    </w:rPr>
  </w:style>
  <w:style w:type="character" w:customStyle="1" w:styleId="11">
    <w:name w:val="font31"/>
    <w:basedOn w:val="5"/>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2028</Words>
  <Characters>2108</Characters>
  <Lines>0</Lines>
  <Paragraphs>0</Paragraphs>
  <TotalTime>1</TotalTime>
  <ScaleCrop>false</ScaleCrop>
  <LinksUpToDate>false</LinksUpToDate>
  <CharactersWithSpaces>2115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WPS_1644586232</cp:lastModifiedBy>
  <dcterms:modified xsi:type="dcterms:W3CDTF">2025-07-31T02:47:20Z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FC87B4A0A8D543A2974C1B1B634111D7_13</vt:lpwstr>
  </property>
</Properties>
</file>